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34DEB" w14:textId="04E7F57A" w:rsidR="006C2B96" w:rsidRDefault="006C2B96" w:rsidP="00975A5C">
      <w:r>
        <w:t xml:space="preserve">TES piece, </w:t>
      </w:r>
      <w:r w:rsidR="00664387">
        <w:t xml:space="preserve">for publishing </w:t>
      </w:r>
      <w:r>
        <w:t>17</w:t>
      </w:r>
      <w:r w:rsidRPr="006C2B96">
        <w:rPr>
          <w:vertAlign w:val="superscript"/>
        </w:rPr>
        <w:t>th</w:t>
      </w:r>
      <w:r>
        <w:t xml:space="preserve"> September 2024</w:t>
      </w:r>
    </w:p>
    <w:p w14:paraId="6ED5BC6F" w14:textId="381B2A68" w:rsidR="006C2B96" w:rsidRPr="00AF29C7" w:rsidRDefault="006C2B96" w:rsidP="00975A5C">
      <w:pPr>
        <w:rPr>
          <w:b/>
          <w:bCs/>
        </w:rPr>
      </w:pPr>
      <w:r w:rsidRPr="00AF29C7">
        <w:rPr>
          <w:b/>
          <w:bCs/>
        </w:rPr>
        <w:t>Would</w:t>
      </w:r>
      <w:r w:rsidR="005547BC" w:rsidRPr="00AF29C7">
        <w:rPr>
          <w:b/>
          <w:bCs/>
        </w:rPr>
        <w:t xml:space="preserve"> introducing</w:t>
      </w:r>
      <w:r w:rsidRPr="00AF29C7">
        <w:rPr>
          <w:b/>
          <w:bCs/>
        </w:rPr>
        <w:t xml:space="preserve"> student loan reimbursements be an effective way to encourage more teachers to stay?</w:t>
      </w:r>
    </w:p>
    <w:p w14:paraId="7EA61B93" w14:textId="04DAC6E5" w:rsidR="00E92926" w:rsidRDefault="00F04C0B" w:rsidP="00E92926">
      <w:pPr>
        <w:pBdr>
          <w:bottom w:val="single" w:sz="12" w:space="1" w:color="auto"/>
        </w:pBdr>
      </w:pPr>
      <w:r>
        <w:t xml:space="preserve">New NFER analysis </w:t>
      </w:r>
      <w:r w:rsidR="00E92926">
        <w:t xml:space="preserve">shows that a student loan reimbursement scheme could be considered as an effective policy tool to boost teacher retention. </w:t>
      </w:r>
    </w:p>
    <w:p w14:paraId="5FA21FAA" w14:textId="77777777" w:rsidR="00E92926" w:rsidRDefault="00E92926" w:rsidP="00975A5C"/>
    <w:p w14:paraId="4892C38F" w14:textId="402F0B95" w:rsidR="005547BC" w:rsidRDefault="005547BC" w:rsidP="00975A5C">
      <w:r>
        <w:t xml:space="preserve">The </w:t>
      </w:r>
      <w:r w:rsidR="00D41ED9">
        <w:t xml:space="preserve">new Labour </w:t>
      </w:r>
      <w:r>
        <w:t xml:space="preserve">government has signalled their commitment to </w:t>
      </w:r>
      <w:r w:rsidR="004224A7">
        <w:t xml:space="preserve">addressing teacher shortages that have been a persistent challenge for schools across the country, by ‘recruiting </w:t>
      </w:r>
      <w:r>
        <w:t xml:space="preserve">6,500 </w:t>
      </w:r>
      <w:r w:rsidR="004224A7">
        <w:t xml:space="preserve">new expert </w:t>
      </w:r>
      <w:r>
        <w:t>teachers</w:t>
      </w:r>
      <w:r w:rsidR="004224A7">
        <w:t>’</w:t>
      </w:r>
      <w:r w:rsidR="0016210D">
        <w:t xml:space="preserve">. </w:t>
      </w:r>
      <w:r w:rsidR="00521636">
        <w:t xml:space="preserve"> T</w:t>
      </w:r>
      <w:r w:rsidR="000E16FE">
        <w:t xml:space="preserve">aking steps to reduce </w:t>
      </w:r>
      <w:r w:rsidR="003E1729">
        <w:t>the number of teachers leaving the profession each year</w:t>
      </w:r>
      <w:r w:rsidR="00521636">
        <w:t xml:space="preserve"> will need to be a key part of delivering this pledge</w:t>
      </w:r>
      <w:r w:rsidR="000E16FE">
        <w:t>.</w:t>
      </w:r>
    </w:p>
    <w:p w14:paraId="27A94518" w14:textId="0D59E87B" w:rsidR="00553455" w:rsidRDefault="005547BC" w:rsidP="00975A5C">
      <w:r>
        <w:t xml:space="preserve">Teacher retention </w:t>
      </w:r>
      <w:r w:rsidR="0084173B">
        <w:t xml:space="preserve">has been </w:t>
      </w:r>
      <w:r>
        <w:t>a</w:t>
      </w:r>
      <w:r w:rsidR="001E3101">
        <w:t>n ongoing</w:t>
      </w:r>
      <w:r>
        <w:t xml:space="preserve"> challenge</w:t>
      </w:r>
      <w:r w:rsidR="00596940">
        <w:t>,</w:t>
      </w:r>
      <w:r w:rsidR="00ED1B5F">
        <w:t xml:space="preserve"> with a</w:t>
      </w:r>
      <w:r w:rsidR="00E97B34">
        <w:t xml:space="preserve">round </w:t>
      </w:r>
      <w:r w:rsidR="59E1DA39">
        <w:t xml:space="preserve">10 </w:t>
      </w:r>
      <w:r w:rsidR="00E97B34">
        <w:t>per cent of the workforce leav</w:t>
      </w:r>
      <w:r w:rsidR="00ED1B5F">
        <w:t>ing</w:t>
      </w:r>
      <w:r w:rsidR="00E97B34">
        <w:t xml:space="preserve"> the </w:t>
      </w:r>
      <w:r w:rsidR="003F7266">
        <w:t xml:space="preserve">state sector each </w:t>
      </w:r>
      <w:r w:rsidR="0006368F">
        <w:t xml:space="preserve">year. </w:t>
      </w:r>
      <w:r w:rsidR="00473AD6">
        <w:t>T</w:t>
      </w:r>
      <w:r w:rsidR="00A12792">
        <w:t xml:space="preserve">he </w:t>
      </w:r>
      <w:r w:rsidR="00656974">
        <w:t xml:space="preserve">proportion leaving </w:t>
      </w:r>
      <w:r w:rsidR="00473AD6">
        <w:t>with</w:t>
      </w:r>
      <w:r w:rsidR="00656974">
        <w:t>in the first five years after qualifying</w:t>
      </w:r>
      <w:r w:rsidR="00473AD6">
        <w:t xml:space="preserve"> is </w:t>
      </w:r>
      <w:r w:rsidR="00365E65">
        <w:t xml:space="preserve">consistently around </w:t>
      </w:r>
      <w:hyperlink r:id="rId11">
        <w:r w:rsidR="00365E65" w:rsidRPr="1377A7CF">
          <w:rPr>
            <w:rStyle w:val="Hyperlink"/>
            <w:rFonts w:cstheme="minorBidi"/>
          </w:rPr>
          <w:t>30 per cent</w:t>
        </w:r>
      </w:hyperlink>
      <w:r w:rsidR="009D4210">
        <w:t>.</w:t>
      </w:r>
      <w:r w:rsidR="00506D9A">
        <w:t xml:space="preserve"> </w:t>
      </w:r>
    </w:p>
    <w:p w14:paraId="3521DED7" w14:textId="4FAE88D8" w:rsidR="005547BC" w:rsidRDefault="00553455" w:rsidP="00975A5C">
      <w:r>
        <w:t xml:space="preserve">Today we have published new </w:t>
      </w:r>
      <w:r w:rsidR="003D50CB">
        <w:t>analysis</w:t>
      </w:r>
      <w:r w:rsidR="00770E43">
        <w:t xml:space="preserve">, commissioned by </w:t>
      </w:r>
      <w:r w:rsidR="127E0495">
        <w:t>the National Association of School-Based Teacher Trainers</w:t>
      </w:r>
      <w:r w:rsidR="646DE23B">
        <w:t xml:space="preserve"> </w:t>
      </w:r>
      <w:r w:rsidR="54A7F718">
        <w:t>(</w:t>
      </w:r>
      <w:r w:rsidR="00770E43">
        <w:t>NASBTT</w:t>
      </w:r>
      <w:r w:rsidR="3F11C480">
        <w:t>)</w:t>
      </w:r>
      <w:r w:rsidR="00770E43">
        <w:t xml:space="preserve"> and </w:t>
      </w:r>
      <w:r w:rsidR="374B1AF4">
        <w:t>Universities’ Council</w:t>
      </w:r>
      <w:r w:rsidR="658977DA">
        <w:t xml:space="preserve"> for the Education of Teachers (</w:t>
      </w:r>
      <w:r w:rsidR="00770E43">
        <w:t>UCET</w:t>
      </w:r>
      <w:r w:rsidR="61594EA9">
        <w:t>)</w:t>
      </w:r>
      <w:r w:rsidR="00770E43">
        <w:t>,</w:t>
      </w:r>
      <w:r w:rsidR="003D50CB">
        <w:t xml:space="preserve"> consider</w:t>
      </w:r>
      <w:r>
        <w:t>ing</w:t>
      </w:r>
      <w:r w:rsidR="003D50CB">
        <w:t xml:space="preserve"> </w:t>
      </w:r>
      <w:r>
        <w:t xml:space="preserve">the cost effectiveness of one policy option that </w:t>
      </w:r>
      <w:r w:rsidR="00DF4C36">
        <w:t xml:space="preserve">could be an effective tool </w:t>
      </w:r>
      <w:r>
        <w:t xml:space="preserve">for </w:t>
      </w:r>
      <w:r w:rsidR="00DF4C36">
        <w:t>encourag</w:t>
      </w:r>
      <w:r>
        <w:t>ing</w:t>
      </w:r>
      <w:r w:rsidR="00DF4C36">
        <w:t xml:space="preserve"> more teachers to remain in the profession</w:t>
      </w:r>
      <w:r>
        <w:t>.</w:t>
      </w:r>
    </w:p>
    <w:p w14:paraId="7E3D5DAC" w14:textId="2F2574CB" w:rsidR="00EE55CA" w:rsidRDefault="006E5524" w:rsidP="00EE55CA">
      <w:r>
        <w:t xml:space="preserve">Teacher student loan reimbursement (TSLR) </w:t>
      </w:r>
      <w:r w:rsidR="00914C2D">
        <w:t xml:space="preserve">is a policy whereby the government </w:t>
      </w:r>
      <w:r w:rsidR="006846DE">
        <w:t>pays back the amount of money paid</w:t>
      </w:r>
      <w:r w:rsidR="00BE30AB">
        <w:t xml:space="preserve"> by teachers</w:t>
      </w:r>
      <w:r w:rsidR="006846DE">
        <w:t xml:space="preserve"> in the previous academic year </w:t>
      </w:r>
      <w:r w:rsidR="00BE30AB">
        <w:t>for</w:t>
      </w:r>
      <w:r w:rsidR="002E0DFC">
        <w:t xml:space="preserve"> their student loan repayments. </w:t>
      </w:r>
    </w:p>
    <w:p w14:paraId="04F98D9D" w14:textId="287038FA" w:rsidR="00E01BEE" w:rsidRDefault="00EE55CA" w:rsidP="00EE55CA">
      <w:r>
        <w:t xml:space="preserve">The Department for Education </w:t>
      </w:r>
      <w:r w:rsidR="007B164C">
        <w:t xml:space="preserve">(DfE) </w:t>
      </w:r>
      <w:r>
        <w:t xml:space="preserve">piloted a TSLR scheme in 2018 for </w:t>
      </w:r>
      <w:r w:rsidR="00E01BEE">
        <w:t xml:space="preserve">state sector </w:t>
      </w:r>
      <w:r>
        <w:t>teachers in certain shortage subjects</w:t>
      </w:r>
      <w:r w:rsidR="007D1BF1">
        <w:t xml:space="preserve"> and in the first </w:t>
      </w:r>
      <w:r w:rsidR="08AAA84B">
        <w:t xml:space="preserve">10 </w:t>
      </w:r>
      <w:r w:rsidR="007D1BF1">
        <w:t>years of their teaching career</w:t>
      </w:r>
      <w:r>
        <w:t xml:space="preserve">. The evaluation of the pilot found some evidence </w:t>
      </w:r>
      <w:r w:rsidR="00CD7029">
        <w:t xml:space="preserve">suggesting </w:t>
      </w:r>
      <w:r>
        <w:t xml:space="preserve">that the scheme </w:t>
      </w:r>
      <w:r w:rsidR="007D1BF1">
        <w:t xml:space="preserve">was associated with </w:t>
      </w:r>
      <w:r>
        <w:t>a reduction in leaving rates for those eligible.</w:t>
      </w:r>
      <w:r w:rsidR="00595C09">
        <w:t xml:space="preserve"> However, the </w:t>
      </w:r>
      <w:r w:rsidR="009E70B2">
        <w:t xml:space="preserve">evidence had a high degree of uncertainty, meaning that </w:t>
      </w:r>
      <w:r w:rsidR="00555A35">
        <w:t>further research</w:t>
      </w:r>
      <w:r w:rsidR="00912C3D">
        <w:t xml:space="preserve"> to understand the impact is needed.</w:t>
      </w:r>
    </w:p>
    <w:p w14:paraId="7AA69676" w14:textId="7E75E113" w:rsidR="003A2592" w:rsidRDefault="003A2592" w:rsidP="00975A5C">
      <w:r>
        <w:t xml:space="preserve">Using the estimates from the DfE pilot, </w:t>
      </w:r>
      <w:r w:rsidR="00D3590F">
        <w:t>we</w:t>
      </w:r>
      <w:r>
        <w:t xml:space="preserve"> modelled the likely impact of introducing a </w:t>
      </w:r>
      <w:r w:rsidR="00816DFD">
        <w:t xml:space="preserve">new </w:t>
      </w:r>
      <w:r>
        <w:t xml:space="preserve">TSLR scheme for all teachers in their first </w:t>
      </w:r>
      <w:r w:rsidR="30674F91">
        <w:t xml:space="preserve">10 </w:t>
      </w:r>
      <w:r>
        <w:t xml:space="preserve">years of teaching. We estimated </w:t>
      </w:r>
      <w:r w:rsidR="001C3B7F">
        <w:t xml:space="preserve">that after one year of the scheme there </w:t>
      </w:r>
      <w:r w:rsidR="00E04917">
        <w:t>c</w:t>
      </w:r>
      <w:r w:rsidR="001C3B7F">
        <w:t xml:space="preserve">ould be </w:t>
      </w:r>
      <w:r w:rsidR="006964EB">
        <w:t xml:space="preserve">around 2,100 </w:t>
      </w:r>
      <w:r w:rsidR="00990149">
        <w:t xml:space="preserve">additional </w:t>
      </w:r>
      <w:r>
        <w:t>teachers</w:t>
      </w:r>
      <w:r w:rsidR="00990149">
        <w:t xml:space="preserve">. These are teachers </w:t>
      </w:r>
      <w:r w:rsidR="00D25398">
        <w:t xml:space="preserve">who we </w:t>
      </w:r>
      <w:r w:rsidR="00A7550E">
        <w:t xml:space="preserve">would </w:t>
      </w:r>
      <w:r w:rsidR="000A03D6">
        <w:t>have</w:t>
      </w:r>
      <w:r>
        <w:t xml:space="preserve"> expect</w:t>
      </w:r>
      <w:r w:rsidR="000A03D6">
        <w:t xml:space="preserve">ed to </w:t>
      </w:r>
      <w:r w:rsidR="00E60628">
        <w:t xml:space="preserve">otherwise </w:t>
      </w:r>
      <w:r w:rsidR="000A03D6">
        <w:t>leave</w:t>
      </w:r>
      <w:r w:rsidR="00A7550E">
        <w:t xml:space="preserve"> teaching in the state sector</w:t>
      </w:r>
      <w:r w:rsidR="000A03D6">
        <w:t xml:space="preserve"> </w:t>
      </w:r>
      <w:r w:rsidR="009D58B9">
        <w:t>i</w:t>
      </w:r>
      <w:r w:rsidR="003C10E7">
        <w:t>f there was no</w:t>
      </w:r>
      <w:r w:rsidR="009D58B9">
        <w:t xml:space="preserve"> </w:t>
      </w:r>
      <w:r>
        <w:t>TSLR scheme</w:t>
      </w:r>
      <w:r w:rsidR="003C10E7">
        <w:t>. The c</w:t>
      </w:r>
      <w:r w:rsidR="00E43A03">
        <w:t>ost of</w:t>
      </w:r>
      <w:r w:rsidR="003C10E7">
        <w:t xml:space="preserve"> the scheme for one year is</w:t>
      </w:r>
      <w:r w:rsidR="00E43A03">
        <w:t xml:space="preserve"> around £2</w:t>
      </w:r>
      <w:r w:rsidR="00E61FF0">
        <w:t>45</w:t>
      </w:r>
      <w:r w:rsidR="00E43A03">
        <w:t xml:space="preserve"> million</w:t>
      </w:r>
      <w:r w:rsidR="003C10E7">
        <w:t xml:space="preserve"> which is around </w:t>
      </w:r>
      <w:r w:rsidR="006A73A2">
        <w:t>the total current spend on training bursaries</w:t>
      </w:r>
      <w:r w:rsidR="00264F41">
        <w:t>.</w:t>
      </w:r>
      <w:r w:rsidR="00E43A03">
        <w:t xml:space="preserve"> </w:t>
      </w:r>
      <w:r w:rsidR="004E448B">
        <w:t xml:space="preserve"> </w:t>
      </w:r>
      <w:r>
        <w:t xml:space="preserve"> </w:t>
      </w:r>
    </w:p>
    <w:p w14:paraId="647CD19D" w14:textId="1781C2D6" w:rsidR="004C14B3" w:rsidRPr="00282FEA" w:rsidRDefault="004C14B3" w:rsidP="00975A5C">
      <w:pPr>
        <w:rPr>
          <w:b/>
          <w:bCs/>
        </w:rPr>
      </w:pPr>
      <w:r w:rsidRPr="00282FEA">
        <w:rPr>
          <w:b/>
          <w:bCs/>
        </w:rPr>
        <w:t xml:space="preserve">Comparing </w:t>
      </w:r>
      <w:r w:rsidR="00282FEA" w:rsidRPr="00282FEA">
        <w:rPr>
          <w:b/>
          <w:bCs/>
        </w:rPr>
        <w:t xml:space="preserve">the cost </w:t>
      </w:r>
      <w:r w:rsidR="003A3D26">
        <w:rPr>
          <w:b/>
          <w:bCs/>
        </w:rPr>
        <w:t xml:space="preserve">and impact </w:t>
      </w:r>
      <w:r w:rsidR="00282FEA" w:rsidRPr="00282FEA">
        <w:rPr>
          <w:b/>
          <w:bCs/>
        </w:rPr>
        <w:t>to other policy options</w:t>
      </w:r>
    </w:p>
    <w:p w14:paraId="4442EAA4" w14:textId="77777777" w:rsidR="00443128" w:rsidRDefault="00FA0BB6" w:rsidP="00975A5C">
      <w:r>
        <w:t>From the government’s perspective one crucial question is</w:t>
      </w:r>
      <w:r w:rsidR="00D3590F">
        <w:t>:</w:t>
      </w:r>
      <w:r>
        <w:t xml:space="preserve"> </w:t>
      </w:r>
      <w:r w:rsidR="003B3650">
        <w:t xml:space="preserve">how does </w:t>
      </w:r>
      <w:r>
        <w:t xml:space="preserve">a TSLR scheme </w:t>
      </w:r>
      <w:r w:rsidR="003B3650">
        <w:t xml:space="preserve">compare in terms of cost </w:t>
      </w:r>
      <w:r w:rsidR="00443128">
        <w:t xml:space="preserve">and impact </w:t>
      </w:r>
      <w:r w:rsidR="003B3650">
        <w:t>with respect</w:t>
      </w:r>
      <w:r>
        <w:t xml:space="preserve"> to other policy options</w:t>
      </w:r>
      <w:r w:rsidR="00AA72F1">
        <w:t xml:space="preserve"> </w:t>
      </w:r>
      <w:r w:rsidR="00BD7FD0">
        <w:t xml:space="preserve">targeted at increasing </w:t>
      </w:r>
      <w:r w:rsidR="00AA72F1">
        <w:t>teacher numbers</w:t>
      </w:r>
      <w:r w:rsidR="00D3590F">
        <w:t>?</w:t>
      </w:r>
      <w:r w:rsidR="00AA72F1">
        <w:t xml:space="preserve"> </w:t>
      </w:r>
    </w:p>
    <w:p w14:paraId="6FDFA6B6" w14:textId="3650F1F9" w:rsidR="00334ABC" w:rsidRDefault="00564B5C" w:rsidP="00975A5C">
      <w:r>
        <w:t xml:space="preserve">We </w:t>
      </w:r>
      <w:r w:rsidR="00A1302F">
        <w:t xml:space="preserve">estimated the cost of a TSLR scheme and then modelled </w:t>
      </w:r>
      <w:r w:rsidR="001A5269">
        <w:t xml:space="preserve">what </w:t>
      </w:r>
      <w:r w:rsidR="00A1302F">
        <w:t xml:space="preserve">the increase in teachers </w:t>
      </w:r>
      <w:r w:rsidR="001A5269">
        <w:t xml:space="preserve">might be </w:t>
      </w:r>
      <w:r w:rsidR="0075221B">
        <w:t xml:space="preserve">from </w:t>
      </w:r>
      <w:r w:rsidR="001A5269">
        <w:t xml:space="preserve">instead </w:t>
      </w:r>
      <w:r w:rsidR="0075221B">
        <w:t>spending the same money on bursaries or early-career retention payments</w:t>
      </w:r>
      <w:r w:rsidR="00054553">
        <w:t xml:space="preserve"> (ECRPs)</w:t>
      </w:r>
      <w:r w:rsidR="00B1437E">
        <w:t xml:space="preserve">. </w:t>
      </w:r>
      <w:r w:rsidR="0033128C">
        <w:t xml:space="preserve">Both are known to be effective at improving teacher supply: </w:t>
      </w:r>
      <w:r w:rsidR="000C0518">
        <w:t>ECRPs have been shown to improve retention, while our evaluation of bursaries suggest</w:t>
      </w:r>
      <w:r w:rsidR="00720890">
        <w:t xml:space="preserve">ed that </w:t>
      </w:r>
      <w:r w:rsidR="000C0518">
        <w:t xml:space="preserve">they improve recruitment and </w:t>
      </w:r>
      <w:r w:rsidR="00E5291E">
        <w:t>have a long-term positive impact on teacher supply</w:t>
      </w:r>
      <w:r w:rsidR="0033128C">
        <w:t>.</w:t>
      </w:r>
    </w:p>
    <w:p w14:paraId="0B67B82F" w14:textId="5C453EBC" w:rsidR="00027EC9" w:rsidRDefault="0002336C" w:rsidP="00975A5C">
      <w:r>
        <w:lastRenderedPageBreak/>
        <w:t xml:space="preserve">We found that when we look over </w:t>
      </w:r>
      <w:r w:rsidR="002D56B8">
        <w:t>the</w:t>
      </w:r>
      <w:r w:rsidR="005C08DA">
        <w:t xml:space="preserve"> whole length of teacher</w:t>
      </w:r>
      <w:r w:rsidR="003D741F">
        <w:t>s</w:t>
      </w:r>
      <w:r w:rsidR="00985D65">
        <w:t>’</w:t>
      </w:r>
      <w:r w:rsidR="005C08DA">
        <w:t xml:space="preserve"> caree</w:t>
      </w:r>
      <w:r w:rsidR="00985D65">
        <w:t>r</w:t>
      </w:r>
      <w:r w:rsidR="003D741F">
        <w:t>s</w:t>
      </w:r>
      <w:r w:rsidR="00985D65">
        <w:t xml:space="preserve">, the increase in teacher supply </w:t>
      </w:r>
      <w:r w:rsidR="00CB5A06">
        <w:t xml:space="preserve">from a TSLR scheme was </w:t>
      </w:r>
      <w:r w:rsidR="00DD2B87">
        <w:t>similar</w:t>
      </w:r>
      <w:r w:rsidR="00CB5A06">
        <w:t xml:space="preserve"> to </w:t>
      </w:r>
      <w:r w:rsidR="002515EE">
        <w:t xml:space="preserve">that </w:t>
      </w:r>
      <w:r w:rsidR="000465AD">
        <w:t xml:space="preserve">from </w:t>
      </w:r>
      <w:r w:rsidR="002515EE">
        <w:t xml:space="preserve">putting the same amount </w:t>
      </w:r>
      <w:r w:rsidR="00167E54">
        <w:t xml:space="preserve">of money </w:t>
      </w:r>
      <w:r w:rsidR="002515EE">
        <w:t xml:space="preserve">towards an </w:t>
      </w:r>
      <w:r w:rsidR="000465AD">
        <w:t>ECRP</w:t>
      </w:r>
      <w:r w:rsidR="002515EE">
        <w:t xml:space="preserve"> policy</w:t>
      </w:r>
      <w:r w:rsidR="000465AD">
        <w:t xml:space="preserve">. </w:t>
      </w:r>
    </w:p>
    <w:p w14:paraId="069609C1" w14:textId="087F39C9" w:rsidR="00FA0BB6" w:rsidRDefault="005035D5" w:rsidP="00975A5C">
      <w:r>
        <w:t xml:space="preserve">Bursary increases appeared to be slightly more </w:t>
      </w:r>
      <w:r w:rsidR="00D42560">
        <w:t xml:space="preserve">effective </w:t>
      </w:r>
      <w:r w:rsidR="00BE7B2C">
        <w:t>tha</w:t>
      </w:r>
      <w:r w:rsidR="009C6D2B">
        <w:t>n</w:t>
      </w:r>
      <w:r w:rsidR="00BE7B2C">
        <w:t xml:space="preserve"> both ECRPs and a TSLR scheme </w:t>
      </w:r>
      <w:r w:rsidR="00D42560">
        <w:t>where there was no bursary</w:t>
      </w:r>
      <w:r w:rsidR="00CF5D27">
        <w:t xml:space="preserve"> </w:t>
      </w:r>
      <w:r w:rsidR="00272438">
        <w:t>currently</w:t>
      </w:r>
      <w:r w:rsidR="009C6D2B">
        <w:t>.</w:t>
      </w:r>
      <w:r w:rsidR="00D42560">
        <w:t xml:space="preserve"> </w:t>
      </w:r>
      <w:r w:rsidR="00F74A38">
        <w:t xml:space="preserve">However, </w:t>
      </w:r>
      <w:r w:rsidR="00D42560">
        <w:t>th</w:t>
      </w:r>
      <w:r w:rsidR="00F74A38">
        <w:t xml:space="preserve">e relative cost effectiveness of bursaries diminishes </w:t>
      </w:r>
      <w:r w:rsidR="00D42560">
        <w:t>whe</w:t>
      </w:r>
      <w:r w:rsidR="00E55858">
        <w:t>n</w:t>
      </w:r>
      <w:r w:rsidR="00D42560">
        <w:t xml:space="preserve"> there </w:t>
      </w:r>
      <w:r w:rsidR="003E276B">
        <w:t xml:space="preserve">are </w:t>
      </w:r>
      <w:r w:rsidR="00D42560">
        <w:t xml:space="preserve">already </w:t>
      </w:r>
      <w:r w:rsidR="00F74A38">
        <w:t xml:space="preserve">high </w:t>
      </w:r>
      <w:r w:rsidR="00D42560">
        <w:t xml:space="preserve">bursaries </w:t>
      </w:r>
      <w:r w:rsidR="00CF5D27">
        <w:t>for subjects</w:t>
      </w:r>
      <w:r w:rsidR="00D04C02">
        <w:t xml:space="preserve">. </w:t>
      </w:r>
      <w:r w:rsidR="00F74A38">
        <w:t xml:space="preserve">The lesson from this is that </w:t>
      </w:r>
      <w:r w:rsidR="00792A87">
        <w:t xml:space="preserve">while </w:t>
      </w:r>
      <w:r w:rsidR="00F74A38">
        <w:t xml:space="preserve">bursaries are </w:t>
      </w:r>
      <w:r w:rsidR="00D11FE0">
        <w:t xml:space="preserve">generally </w:t>
      </w:r>
      <w:r w:rsidR="00F74A38">
        <w:t>very cost effective, i</w:t>
      </w:r>
      <w:r w:rsidR="00272438">
        <w:t>n subjects where there</w:t>
      </w:r>
      <w:r w:rsidR="001A41A7">
        <w:t xml:space="preserve"> </w:t>
      </w:r>
      <w:r w:rsidR="00F74A38">
        <w:t xml:space="preserve">is </w:t>
      </w:r>
      <w:r w:rsidR="001A41A7">
        <w:t>already a high bursary</w:t>
      </w:r>
      <w:r w:rsidR="00272438">
        <w:t xml:space="preserve"> </w:t>
      </w:r>
      <w:r w:rsidR="00D42560">
        <w:t>(</w:t>
      </w:r>
      <w:r w:rsidR="00F74A38">
        <w:t>e.g.</w:t>
      </w:r>
      <w:r w:rsidR="00D42560">
        <w:t xml:space="preserve"> maths </w:t>
      </w:r>
      <w:r w:rsidR="00F74A38">
        <w:t xml:space="preserve">and physics </w:t>
      </w:r>
      <w:r w:rsidR="00D42560">
        <w:t>currently attract a £28,000 bursary)</w:t>
      </w:r>
      <w:r w:rsidR="00A9399F">
        <w:t xml:space="preserve"> it is worth </w:t>
      </w:r>
      <w:r w:rsidR="004D29E7">
        <w:t>focusing on incentivising retention</w:t>
      </w:r>
      <w:r w:rsidR="00D42560">
        <w:t>.</w:t>
      </w:r>
      <w:r>
        <w:t xml:space="preserve"> </w:t>
      </w:r>
      <w:r w:rsidR="00816604">
        <w:t xml:space="preserve"> </w:t>
      </w:r>
    </w:p>
    <w:p w14:paraId="43F0C77E" w14:textId="7524D000" w:rsidR="00B5219A" w:rsidRPr="003C10E7" w:rsidRDefault="00D50141" w:rsidP="00975A5C">
      <w:pPr>
        <w:rPr>
          <w:b/>
          <w:bCs/>
        </w:rPr>
      </w:pPr>
      <w:r w:rsidRPr="003C10E7">
        <w:rPr>
          <w:b/>
          <w:bCs/>
        </w:rPr>
        <w:t>A TSLR scheme could be a useful too</w:t>
      </w:r>
      <w:r w:rsidR="003C10E7">
        <w:rPr>
          <w:b/>
          <w:bCs/>
        </w:rPr>
        <w:t xml:space="preserve">l, particularly for </w:t>
      </w:r>
      <w:r w:rsidR="00C403C6">
        <w:rPr>
          <w:b/>
          <w:bCs/>
        </w:rPr>
        <w:t>shortage subjects</w:t>
      </w:r>
    </w:p>
    <w:p w14:paraId="3F175870" w14:textId="5D733EE7" w:rsidR="001744A6" w:rsidRDefault="001744A6" w:rsidP="00975A5C">
      <w:r>
        <w:t xml:space="preserve">TSLRs also have some quirks that may make policymakers think twice about implementing them. While ECRPs </w:t>
      </w:r>
      <w:r w:rsidR="00CB714E">
        <w:t xml:space="preserve">are paid at a flat rate, </w:t>
      </w:r>
      <w:r w:rsidR="00CB486B">
        <w:t>TSLRs</w:t>
      </w:r>
      <w:r w:rsidR="00576220">
        <w:t xml:space="preserve"> tend to be lower for women</w:t>
      </w:r>
      <w:r w:rsidR="00C76645">
        <w:t xml:space="preserve"> and part-time teachers, because they are linked to loan repayments.</w:t>
      </w:r>
      <w:r w:rsidR="00086B59">
        <w:t xml:space="preserve"> Because they are linked to loan repayments, </w:t>
      </w:r>
      <w:r w:rsidR="00E771C1">
        <w:t xml:space="preserve">the amount of a </w:t>
      </w:r>
      <w:r w:rsidR="00086B59">
        <w:t xml:space="preserve">TSLR </w:t>
      </w:r>
      <w:r w:rsidR="00E771C1">
        <w:t xml:space="preserve">is </w:t>
      </w:r>
      <w:r w:rsidR="00C7467D">
        <w:t xml:space="preserve">also highly </w:t>
      </w:r>
      <w:r w:rsidR="00086B59">
        <w:t xml:space="preserve">inflexible, whereas </w:t>
      </w:r>
      <w:r w:rsidR="00E771C1">
        <w:t>ECRPs offer greater flexibility in</w:t>
      </w:r>
      <w:r w:rsidR="0BD3A2EB">
        <w:t xml:space="preserve"> the</w:t>
      </w:r>
      <w:r w:rsidR="00E771C1">
        <w:t xml:space="preserve"> payment amount that can be adapted to circumstances.</w:t>
      </w:r>
    </w:p>
    <w:p w14:paraId="60E12DCB" w14:textId="71B21016" w:rsidR="00477B49" w:rsidRDefault="001744A6" w:rsidP="00975A5C">
      <w:r>
        <w:t>However, o</w:t>
      </w:r>
      <w:r w:rsidR="0095559B" w:rsidRPr="005F5055">
        <w:t>ur analysis show</w:t>
      </w:r>
      <w:r w:rsidR="00F56758">
        <w:t>s</w:t>
      </w:r>
      <w:r w:rsidR="009754EF" w:rsidRPr="005F5055">
        <w:t xml:space="preserve"> that </w:t>
      </w:r>
      <w:r w:rsidR="005F5055">
        <w:t>introducing a new</w:t>
      </w:r>
      <w:r w:rsidR="009754EF" w:rsidRPr="005F5055">
        <w:t xml:space="preserve"> TSLR scheme </w:t>
      </w:r>
      <w:r w:rsidR="005F5055">
        <w:t xml:space="preserve">could be an </w:t>
      </w:r>
      <w:r w:rsidR="00313171">
        <w:t xml:space="preserve">efficient policy </w:t>
      </w:r>
      <w:r w:rsidR="00792A87">
        <w:t xml:space="preserve">for </w:t>
      </w:r>
      <w:r w:rsidR="00234E15">
        <w:t>improv</w:t>
      </w:r>
      <w:r w:rsidR="00792A87">
        <w:t>ing</w:t>
      </w:r>
      <w:r w:rsidR="00313171">
        <w:t xml:space="preserve"> teacher supply through encouraging more teachers to remain</w:t>
      </w:r>
      <w:r w:rsidR="00B567C8">
        <w:t xml:space="preserve"> in the profession</w:t>
      </w:r>
      <w:r w:rsidR="00313171">
        <w:t>.</w:t>
      </w:r>
      <w:r w:rsidR="00312BDC">
        <w:t xml:space="preserve"> </w:t>
      </w:r>
      <w:r w:rsidR="00B567C8">
        <w:t xml:space="preserve">Especially for shortage subjects where </w:t>
      </w:r>
      <w:r w:rsidR="00742313">
        <w:t>bursaries are</w:t>
      </w:r>
      <w:r w:rsidR="00211E23">
        <w:t xml:space="preserve"> already high</w:t>
      </w:r>
      <w:r w:rsidR="005836AE">
        <w:t>, a</w:t>
      </w:r>
      <w:r w:rsidR="00742313">
        <w:t xml:space="preserve"> TSLR scheme could be considered </w:t>
      </w:r>
      <w:r w:rsidR="0083395D">
        <w:t xml:space="preserve">as part </w:t>
      </w:r>
      <w:r w:rsidR="00D442F0">
        <w:t xml:space="preserve">of a broad teacher </w:t>
      </w:r>
      <w:r w:rsidR="00D45D03">
        <w:t xml:space="preserve">recruitment and retention </w:t>
      </w:r>
      <w:r w:rsidR="00D442F0">
        <w:t>strategy</w:t>
      </w:r>
      <w:r w:rsidR="00742313">
        <w:t>.</w:t>
      </w:r>
    </w:p>
    <w:p w14:paraId="21213C32" w14:textId="01770EEC" w:rsidR="00347C07" w:rsidRPr="005F5055" w:rsidRDefault="00347C07" w:rsidP="00975A5C"/>
    <w:p w14:paraId="483753BF" w14:textId="1186DC39" w:rsidR="00D30856" w:rsidRPr="00975A5C" w:rsidRDefault="00D30856" w:rsidP="00975A5C"/>
    <w:sectPr w:rsidR="00D30856" w:rsidRPr="00975A5C" w:rsidSect="00FB13EA">
      <w:footerReference w:type="default" r:id="rId12"/>
      <w:footerReference w:type="first" r:id="rId13"/>
      <w:pgSz w:w="11907" w:h="16840" w:code="9"/>
      <w:pgMar w:top="1418" w:right="1418" w:bottom="1418" w:left="1418" w:header="62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B6F4DB" w14:textId="77777777" w:rsidR="005B4C5D" w:rsidRDefault="005B4C5D" w:rsidP="006B3540">
      <w:r>
        <w:separator/>
      </w:r>
    </w:p>
  </w:endnote>
  <w:endnote w:type="continuationSeparator" w:id="0">
    <w:p w14:paraId="624EBD2C" w14:textId="77777777" w:rsidR="005B4C5D" w:rsidRDefault="005B4C5D" w:rsidP="006B3540">
      <w:r>
        <w:continuationSeparator/>
      </w:r>
    </w:p>
  </w:endnote>
  <w:endnote w:type="continuationNotice" w:id="1">
    <w:p w14:paraId="29BC928C" w14:textId="77777777" w:rsidR="005B4C5D" w:rsidRDefault="005B4C5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5E5CA" w14:textId="77777777" w:rsidR="000E2300" w:rsidRPr="005B31C6" w:rsidRDefault="00EB0A3F">
    <w:pPr>
      <w:rPr>
        <w:rFonts w:ascii="Arial Black" w:hAnsi="Arial Black" w:cs="Arial"/>
        <w:b/>
        <w:bCs/>
        <w:iCs/>
        <w:color w:val="95569E"/>
        <w:sz w:val="28"/>
        <w:szCs w:val="28"/>
      </w:rPr>
    </w:pPr>
    <w:sdt>
      <w:sdtPr>
        <w:rPr>
          <w:rStyle w:val="Heading2Char"/>
          <w:rFonts w:eastAsiaTheme="minorEastAsia"/>
          <w:color w:val="95569E"/>
        </w:rPr>
        <w:id w:val="-1294441781"/>
        <w:dropDownList>
          <w:listItem w:displayText="Restricted" w:value="Restricted"/>
          <w:listItem w:displayText="Confidential" w:value="Confidential"/>
          <w:listItem w:displayText="Public" w:value="Public"/>
        </w:dropDownList>
      </w:sdtPr>
      <w:sdtEndPr>
        <w:rPr>
          <w:rStyle w:val="Heading2Char"/>
        </w:rPr>
      </w:sdtEndPr>
      <w:sdtContent>
        <w:r w:rsidR="000E2300" w:rsidRPr="00B235AB">
          <w:rPr>
            <w:rStyle w:val="Heading2Char"/>
            <w:rFonts w:eastAsiaTheme="minorEastAsia"/>
            <w:color w:val="95569E"/>
          </w:rPr>
          <w:t>Restricted</w:t>
        </w:r>
      </w:sdtContent>
    </w:sdt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 w:rsidRPr="00696D0B">
      <w:rPr>
        <w:rStyle w:val="Heading2Char"/>
        <w:rFonts w:eastAsiaTheme="minorEastAsia"/>
        <w:color w:val="95569E"/>
        <w:sz w:val="22"/>
      </w:rPr>
      <w:fldChar w:fldCharType="begin"/>
    </w:r>
    <w:r w:rsidR="000E2300" w:rsidRPr="00696D0B">
      <w:rPr>
        <w:rStyle w:val="Heading2Char"/>
        <w:rFonts w:eastAsiaTheme="minorEastAsia"/>
        <w:color w:val="95569E"/>
        <w:sz w:val="22"/>
      </w:rPr>
      <w:instrText xml:space="preserve"> PAGE   \* MERGEFORMAT </w:instrText>
    </w:r>
    <w:r w:rsidR="000E2300" w:rsidRPr="00696D0B">
      <w:rPr>
        <w:rStyle w:val="Heading2Char"/>
        <w:rFonts w:eastAsiaTheme="minorEastAsia"/>
        <w:color w:val="95569E"/>
        <w:sz w:val="22"/>
      </w:rPr>
      <w:fldChar w:fldCharType="separate"/>
    </w:r>
    <w:r w:rsidR="00FB13EA">
      <w:rPr>
        <w:rStyle w:val="Heading2Char"/>
        <w:rFonts w:eastAsiaTheme="minorEastAsia"/>
        <w:noProof/>
        <w:color w:val="95569E"/>
        <w:sz w:val="22"/>
      </w:rPr>
      <w:t>1</w:t>
    </w:r>
    <w:r w:rsidR="000E2300" w:rsidRPr="00696D0B">
      <w:rPr>
        <w:rStyle w:val="Heading2Char"/>
        <w:rFonts w:eastAsiaTheme="minorEastAsia"/>
        <w:noProof/>
        <w:color w:val="95569E"/>
        <w:sz w:val="22"/>
      </w:rPr>
      <w:fldChar w:fldCharType="end"/>
    </w:r>
  </w:p>
  <w:p w14:paraId="74BD6C9E" w14:textId="77777777" w:rsidR="000E2300" w:rsidRDefault="000E23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E2301" w14:textId="77777777" w:rsidR="00B235AB" w:rsidRPr="00443AD0" w:rsidRDefault="00EB0A3F" w:rsidP="00443AD0">
    <w:pPr>
      <w:rPr>
        <w:rFonts w:ascii="Arial Black" w:hAnsi="Arial Black" w:cs="Arial"/>
        <w:b/>
        <w:bCs/>
        <w:iCs/>
        <w:color w:val="95569E"/>
        <w:sz w:val="28"/>
        <w:szCs w:val="28"/>
      </w:rPr>
    </w:pPr>
    <w:sdt>
      <w:sdtPr>
        <w:rPr>
          <w:rStyle w:val="Heading2Char"/>
          <w:rFonts w:eastAsiaTheme="minorEastAsia"/>
          <w:color w:val="95569E"/>
        </w:rPr>
        <w:id w:val="5041079"/>
        <w:dropDownList>
          <w:listItem w:displayText="Restricted" w:value="Restricted"/>
          <w:listItem w:displayText="Confidential" w:value="Confidential"/>
          <w:listItem w:displayText="Public" w:value="Public"/>
        </w:dropDownList>
      </w:sdtPr>
      <w:sdtEndPr>
        <w:rPr>
          <w:rStyle w:val="Heading2Char"/>
        </w:rPr>
      </w:sdtEndPr>
      <w:sdtContent>
        <w:r w:rsidR="000E2300" w:rsidRPr="00B235AB">
          <w:rPr>
            <w:rStyle w:val="Heading2Char"/>
            <w:rFonts w:eastAsiaTheme="minorEastAsia"/>
            <w:color w:val="95569E"/>
          </w:rPr>
          <w:t>Restricted</w:t>
        </w:r>
      </w:sdtContent>
    </w:sdt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>
      <w:rPr>
        <w:rStyle w:val="Heading2Char"/>
        <w:rFonts w:eastAsiaTheme="minorEastAsia"/>
        <w:color w:val="95569E"/>
      </w:rPr>
      <w:tab/>
    </w:r>
    <w:r w:rsidR="000E2300" w:rsidRPr="00696D0B">
      <w:rPr>
        <w:rStyle w:val="Heading2Char"/>
        <w:rFonts w:eastAsiaTheme="minorEastAsia"/>
        <w:color w:val="95569E"/>
        <w:sz w:val="22"/>
      </w:rPr>
      <w:fldChar w:fldCharType="begin"/>
    </w:r>
    <w:r w:rsidR="000E2300" w:rsidRPr="00696D0B">
      <w:rPr>
        <w:rStyle w:val="Heading2Char"/>
        <w:rFonts w:eastAsiaTheme="minorEastAsia"/>
        <w:color w:val="95569E"/>
        <w:sz w:val="22"/>
      </w:rPr>
      <w:instrText xml:space="preserve"> PAGE   \* MERGEFORMAT </w:instrText>
    </w:r>
    <w:r w:rsidR="000E2300" w:rsidRPr="00696D0B">
      <w:rPr>
        <w:rStyle w:val="Heading2Char"/>
        <w:rFonts w:eastAsiaTheme="minorEastAsia"/>
        <w:color w:val="95569E"/>
        <w:sz w:val="22"/>
      </w:rPr>
      <w:fldChar w:fldCharType="separate"/>
    </w:r>
    <w:r w:rsidR="00FB13EA">
      <w:rPr>
        <w:rStyle w:val="Heading2Char"/>
        <w:rFonts w:eastAsiaTheme="minorEastAsia"/>
        <w:noProof/>
        <w:color w:val="95569E"/>
        <w:sz w:val="22"/>
      </w:rPr>
      <w:t>1</w:t>
    </w:r>
    <w:r w:rsidR="000E2300" w:rsidRPr="00696D0B">
      <w:rPr>
        <w:rStyle w:val="Heading2Char"/>
        <w:rFonts w:eastAsiaTheme="minorEastAsia"/>
        <w:noProof/>
        <w:color w:val="95569E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BCE684" w14:textId="77777777" w:rsidR="005B4C5D" w:rsidRDefault="005B4C5D" w:rsidP="006B3540">
      <w:r>
        <w:separator/>
      </w:r>
    </w:p>
  </w:footnote>
  <w:footnote w:type="continuationSeparator" w:id="0">
    <w:p w14:paraId="2D09F979" w14:textId="77777777" w:rsidR="005B4C5D" w:rsidRDefault="005B4C5D" w:rsidP="006B3540">
      <w:r>
        <w:continuationSeparator/>
      </w:r>
    </w:p>
  </w:footnote>
  <w:footnote w:type="continuationNotice" w:id="1">
    <w:p w14:paraId="0FA2D06C" w14:textId="77777777" w:rsidR="005B4C5D" w:rsidRDefault="005B4C5D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C266F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2824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0824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2899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A873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CCF7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225D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4827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3D0699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7B74FA"/>
    <w:multiLevelType w:val="multilevel"/>
    <w:tmpl w:val="CDA49FD0"/>
    <w:lvl w:ilvl="0">
      <w:start w:val="1"/>
      <w:numFmt w:val="bullet"/>
      <w:pStyle w:val="ListBullet"/>
      <w:lvlText w:val=""/>
      <w:lvlJc w:val="left"/>
      <w:pPr>
        <w:ind w:left="227" w:hanging="227"/>
      </w:pPr>
      <w:rPr>
        <w:rFonts w:ascii="Wingdings" w:hAnsi="Wingdings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−"/>
      <w:lvlJc w:val="left"/>
      <w:pPr>
        <w:ind w:left="454" w:hanging="227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−"/>
      <w:lvlJc w:val="left"/>
      <w:pPr>
        <w:ind w:left="1080" w:hanging="360"/>
      </w:pPr>
      <w:rPr>
        <w:rFonts w:ascii="Arial" w:hAnsi="Arial" w:cs="Times New Roman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0A2F552A"/>
    <w:multiLevelType w:val="multilevel"/>
    <w:tmpl w:val="0BDC73EE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5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6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7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F013CDD"/>
    <w:multiLevelType w:val="multilevel"/>
    <w:tmpl w:val="EFBA4CD0"/>
    <w:lvl w:ilvl="0">
      <w:start w:val="1"/>
      <w:numFmt w:val="decimal"/>
      <w:pStyle w:val="TableTitle"/>
      <w:lvlText w:val="Table %1.1."/>
      <w:lvlJc w:val="left"/>
      <w:pPr>
        <w:ind w:left="1304" w:hanging="1304"/>
      </w:pPr>
      <w:rPr>
        <w:rFonts w:hint="default"/>
      </w:rPr>
    </w:lvl>
    <w:lvl w:ilvl="1">
      <w:start w:val="1"/>
      <w:numFmt w:val="decimal"/>
      <w:lvlText w:val="Table %1.%2.1."/>
      <w:lvlJc w:val="left"/>
      <w:pPr>
        <w:ind w:left="1304" w:hanging="1304"/>
      </w:pPr>
      <w:rPr>
        <w:rFonts w:hint="default"/>
      </w:rPr>
    </w:lvl>
    <w:lvl w:ilvl="2">
      <w:start w:val="1"/>
      <w:numFmt w:val="decimal"/>
      <w:lvlText w:val="Table %1.%2.%3.1.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lvlText w:val="Table %1.%2.%3.%4.1."/>
      <w:lvlJc w:val="left"/>
      <w:pPr>
        <w:ind w:left="1304" w:hanging="1304"/>
      </w:pPr>
      <w:rPr>
        <w:rFonts w:hint="default"/>
      </w:rPr>
    </w:lvl>
    <w:lvl w:ilvl="4">
      <w:start w:val="1"/>
      <w:numFmt w:val="decimal"/>
      <w:lvlText w:val="Table %1.%2.%3.%4.%5.1."/>
      <w:lvlJc w:val="left"/>
      <w:pPr>
        <w:ind w:left="1304" w:hanging="1304"/>
      </w:pPr>
      <w:rPr>
        <w:rFonts w:hint="default"/>
      </w:rPr>
    </w:lvl>
    <w:lvl w:ilvl="5">
      <w:start w:val="1"/>
      <w:numFmt w:val="decimal"/>
      <w:lvlText w:val="Table %1.%2.%3.%4.%5.%6.1."/>
      <w:lvlJc w:val="left"/>
      <w:pPr>
        <w:ind w:left="2739" w:hanging="939"/>
      </w:pPr>
      <w:rPr>
        <w:rFonts w:hint="default"/>
      </w:rPr>
    </w:lvl>
    <w:lvl w:ilvl="6">
      <w:start w:val="1"/>
      <w:numFmt w:val="decimal"/>
      <w:lvlText w:val="Table %1.%2.%3.%4.%5.%6.%7.1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Table %1.%2.%3.%4.%5.%6.%7.%8.1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Table %1.%2.%3.%4.%5.%6.%7.%8.%9.1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895498"/>
    <w:multiLevelType w:val="multilevel"/>
    <w:tmpl w:val="F99C92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9A64324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6B851035"/>
    <w:multiLevelType w:val="multilevel"/>
    <w:tmpl w:val="01207EFC"/>
    <w:lvl w:ilvl="0">
      <w:start w:val="1"/>
      <w:numFmt w:val="decimal"/>
      <w:lvlText w:val="%1."/>
      <w:lvlJc w:val="left"/>
      <w:pPr>
        <w:ind w:left="360" w:hanging="360"/>
      </w:pPr>
      <w:rPr>
        <w:rFonts w:ascii="Arial Bold" w:hAnsi="Arial Bold" w:cs="Arial" w:hint="default"/>
        <w:b/>
        <w:bCs/>
        <w:i w:val="0"/>
        <w:iCs w:val="0"/>
        <w:color w:val="95569E" w:themeColor="accent1"/>
        <w:sz w:val="42"/>
        <w:szCs w:val="4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Bold" w:hAnsi="Arial Bold" w:hint="default"/>
        <w:b/>
        <w:i w:val="0"/>
        <w:color w:val="auto"/>
        <w:sz w:val="3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 w:val="0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34066822">
    <w:abstractNumId w:val="8"/>
  </w:num>
  <w:num w:numId="2" w16cid:durableId="2008748962">
    <w:abstractNumId w:val="7"/>
  </w:num>
  <w:num w:numId="3" w16cid:durableId="2085371828">
    <w:abstractNumId w:val="6"/>
  </w:num>
  <w:num w:numId="4" w16cid:durableId="1551453700">
    <w:abstractNumId w:val="5"/>
  </w:num>
  <w:num w:numId="5" w16cid:durableId="883830544">
    <w:abstractNumId w:val="4"/>
  </w:num>
  <w:num w:numId="6" w16cid:durableId="1235748572">
    <w:abstractNumId w:val="10"/>
  </w:num>
  <w:num w:numId="7" w16cid:durableId="7340784">
    <w:abstractNumId w:val="3"/>
  </w:num>
  <w:num w:numId="8" w16cid:durableId="458886486">
    <w:abstractNumId w:val="2"/>
  </w:num>
  <w:num w:numId="9" w16cid:durableId="569848725">
    <w:abstractNumId w:val="1"/>
  </w:num>
  <w:num w:numId="10" w16cid:durableId="1435784899">
    <w:abstractNumId w:val="0"/>
  </w:num>
  <w:num w:numId="11" w16cid:durableId="1041976982">
    <w:abstractNumId w:val="14"/>
  </w:num>
  <w:num w:numId="12" w16cid:durableId="1943683191">
    <w:abstractNumId w:val="12"/>
  </w:num>
  <w:num w:numId="13" w16cid:durableId="793787373">
    <w:abstractNumId w:val="9"/>
  </w:num>
  <w:num w:numId="14" w16cid:durableId="1919899077">
    <w:abstractNumId w:val="11"/>
  </w:num>
  <w:num w:numId="15" w16cid:durableId="510871441">
    <w:abstractNumId w:val="9"/>
    <w:lvlOverride w:ilvl="0">
      <w:lvl w:ilvl="0">
        <w:start w:val="1"/>
        <w:numFmt w:val="bullet"/>
        <w:pStyle w:val="ListBullet"/>
        <w:lvlText w:val=""/>
        <w:lvlJc w:val="left"/>
        <w:pPr>
          <w:ind w:left="227" w:hanging="227"/>
        </w:pPr>
        <w:rPr>
          <w:rFonts w:ascii="Wingdings" w:hAnsi="Wingdings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bullet"/>
        <w:lvlText w:val="−"/>
        <w:lvlJc w:val="left"/>
        <w:pPr>
          <w:ind w:left="454" w:hanging="227"/>
        </w:pPr>
        <w:rPr>
          <w:rFonts w:ascii="Arial" w:hAnsi="Arial" w:cs="Arial" w:hint="default"/>
          <w:b w:val="0"/>
          <w:i w:val="0"/>
          <w:color w:val="auto"/>
          <w:sz w:val="24"/>
          <w:szCs w:val="24"/>
        </w:rPr>
      </w:lvl>
    </w:lvlOverride>
    <w:lvlOverride w:ilvl="2">
      <w:lvl w:ilvl="2">
        <w:start w:val="1"/>
        <w:numFmt w:val="bullet"/>
        <w:lvlText w:val="−"/>
        <w:lvlJc w:val="left"/>
        <w:pPr>
          <w:ind w:left="680" w:hanging="453"/>
        </w:pPr>
        <w:rPr>
          <w:rFonts w:ascii="Arial" w:hAnsi="Arial" w:cs="Times New Roman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"/>
        <w:lvlJc w:val="left"/>
        <w:pPr>
          <w:ind w:left="1800" w:hanging="36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lvlText w:val="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"/>
        <w:lvlJc w:val="left"/>
        <w:pPr>
          <w:ind w:left="2520" w:hanging="360"/>
        </w:pPr>
        <w:rPr>
          <w:rFonts w:ascii="Wingdings" w:hAnsi="Wingdings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"/>
        <w:lvlJc w:val="left"/>
        <w:pPr>
          <w:ind w:left="3240" w:hanging="360"/>
        </w:pPr>
        <w:rPr>
          <w:rFonts w:ascii="Symbol" w:hAnsi="Symbol" w:hint="default"/>
        </w:rPr>
      </w:lvl>
    </w:lvlOverride>
  </w:num>
  <w:num w:numId="16" w16cid:durableId="7163184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96"/>
    <w:rsid w:val="00001F8E"/>
    <w:rsid w:val="00007FAD"/>
    <w:rsid w:val="00020236"/>
    <w:rsid w:val="000210AB"/>
    <w:rsid w:val="0002336C"/>
    <w:rsid w:val="00024F11"/>
    <w:rsid w:val="00027EC9"/>
    <w:rsid w:val="00040B12"/>
    <w:rsid w:val="000465AD"/>
    <w:rsid w:val="00046D68"/>
    <w:rsid w:val="00052621"/>
    <w:rsid w:val="00054553"/>
    <w:rsid w:val="00055591"/>
    <w:rsid w:val="0006368F"/>
    <w:rsid w:val="000715A4"/>
    <w:rsid w:val="000721D9"/>
    <w:rsid w:val="00072A5B"/>
    <w:rsid w:val="00077ECC"/>
    <w:rsid w:val="00083905"/>
    <w:rsid w:val="00083F0F"/>
    <w:rsid w:val="00086B59"/>
    <w:rsid w:val="00091438"/>
    <w:rsid w:val="000945F4"/>
    <w:rsid w:val="00094B53"/>
    <w:rsid w:val="000A03D6"/>
    <w:rsid w:val="000A239A"/>
    <w:rsid w:val="000B45E3"/>
    <w:rsid w:val="000C0105"/>
    <w:rsid w:val="000C0518"/>
    <w:rsid w:val="000C56B2"/>
    <w:rsid w:val="000D55D6"/>
    <w:rsid w:val="000D7308"/>
    <w:rsid w:val="000D7D33"/>
    <w:rsid w:val="000E05DD"/>
    <w:rsid w:val="000E16FE"/>
    <w:rsid w:val="000E2300"/>
    <w:rsid w:val="000E3C66"/>
    <w:rsid w:val="000E6618"/>
    <w:rsid w:val="000E7FDE"/>
    <w:rsid w:val="000F1D6F"/>
    <w:rsid w:val="000F4D78"/>
    <w:rsid w:val="00106FCE"/>
    <w:rsid w:val="00107641"/>
    <w:rsid w:val="00126358"/>
    <w:rsid w:val="00127329"/>
    <w:rsid w:val="00135991"/>
    <w:rsid w:val="001376FE"/>
    <w:rsid w:val="001504B1"/>
    <w:rsid w:val="0015401A"/>
    <w:rsid w:val="001558B2"/>
    <w:rsid w:val="0016210D"/>
    <w:rsid w:val="00167E54"/>
    <w:rsid w:val="001705C1"/>
    <w:rsid w:val="001744A6"/>
    <w:rsid w:val="00180113"/>
    <w:rsid w:val="00197B22"/>
    <w:rsid w:val="001A1052"/>
    <w:rsid w:val="001A41A7"/>
    <w:rsid w:val="001A5269"/>
    <w:rsid w:val="001A71A2"/>
    <w:rsid w:val="001B4B70"/>
    <w:rsid w:val="001C3B7F"/>
    <w:rsid w:val="001E176C"/>
    <w:rsid w:val="001E3101"/>
    <w:rsid w:val="001E6994"/>
    <w:rsid w:val="00205EC1"/>
    <w:rsid w:val="00211E23"/>
    <w:rsid w:val="0023349F"/>
    <w:rsid w:val="002337D1"/>
    <w:rsid w:val="00234E15"/>
    <w:rsid w:val="0025079A"/>
    <w:rsid w:val="002512B0"/>
    <w:rsid w:val="002515EE"/>
    <w:rsid w:val="00253147"/>
    <w:rsid w:val="002571B8"/>
    <w:rsid w:val="00261F10"/>
    <w:rsid w:val="00264F41"/>
    <w:rsid w:val="00272438"/>
    <w:rsid w:val="0027310D"/>
    <w:rsid w:val="00282FEA"/>
    <w:rsid w:val="002840B2"/>
    <w:rsid w:val="00290081"/>
    <w:rsid w:val="002905C0"/>
    <w:rsid w:val="002A065E"/>
    <w:rsid w:val="002A5927"/>
    <w:rsid w:val="002A6D40"/>
    <w:rsid w:val="002B41AF"/>
    <w:rsid w:val="002D2186"/>
    <w:rsid w:val="002D56B8"/>
    <w:rsid w:val="002D6309"/>
    <w:rsid w:val="002D7201"/>
    <w:rsid w:val="002E0DFC"/>
    <w:rsid w:val="002E58AB"/>
    <w:rsid w:val="002F0FB2"/>
    <w:rsid w:val="002F2C25"/>
    <w:rsid w:val="002F36C6"/>
    <w:rsid w:val="002F62F3"/>
    <w:rsid w:val="0030523C"/>
    <w:rsid w:val="00307FDA"/>
    <w:rsid w:val="00312BDC"/>
    <w:rsid w:val="00313171"/>
    <w:rsid w:val="0033128C"/>
    <w:rsid w:val="00334ABC"/>
    <w:rsid w:val="00334ACF"/>
    <w:rsid w:val="0034107C"/>
    <w:rsid w:val="0034196D"/>
    <w:rsid w:val="00347C07"/>
    <w:rsid w:val="00353535"/>
    <w:rsid w:val="00362A22"/>
    <w:rsid w:val="00365E65"/>
    <w:rsid w:val="00365F9D"/>
    <w:rsid w:val="00373782"/>
    <w:rsid w:val="00375D34"/>
    <w:rsid w:val="00382524"/>
    <w:rsid w:val="00384926"/>
    <w:rsid w:val="003A2592"/>
    <w:rsid w:val="003A3880"/>
    <w:rsid w:val="003A3D26"/>
    <w:rsid w:val="003B2625"/>
    <w:rsid w:val="003B2858"/>
    <w:rsid w:val="003B3650"/>
    <w:rsid w:val="003B4F56"/>
    <w:rsid w:val="003B5303"/>
    <w:rsid w:val="003C1067"/>
    <w:rsid w:val="003C10E7"/>
    <w:rsid w:val="003C7110"/>
    <w:rsid w:val="003D50CB"/>
    <w:rsid w:val="003D5632"/>
    <w:rsid w:val="003D741F"/>
    <w:rsid w:val="003E1729"/>
    <w:rsid w:val="003E1CCB"/>
    <w:rsid w:val="003E276B"/>
    <w:rsid w:val="003F0D5E"/>
    <w:rsid w:val="003F43B0"/>
    <w:rsid w:val="003F7266"/>
    <w:rsid w:val="004027F2"/>
    <w:rsid w:val="00417065"/>
    <w:rsid w:val="004219AC"/>
    <w:rsid w:val="004224A7"/>
    <w:rsid w:val="004326BD"/>
    <w:rsid w:val="00433C3F"/>
    <w:rsid w:val="00434739"/>
    <w:rsid w:val="00440280"/>
    <w:rsid w:val="00442E9E"/>
    <w:rsid w:val="00443128"/>
    <w:rsid w:val="00443AD0"/>
    <w:rsid w:val="00454155"/>
    <w:rsid w:val="004603A6"/>
    <w:rsid w:val="00461C29"/>
    <w:rsid w:val="00465BF7"/>
    <w:rsid w:val="00466C8C"/>
    <w:rsid w:val="00473AD6"/>
    <w:rsid w:val="00477B49"/>
    <w:rsid w:val="004B5057"/>
    <w:rsid w:val="004C14B3"/>
    <w:rsid w:val="004C7506"/>
    <w:rsid w:val="004D29E7"/>
    <w:rsid w:val="004E448B"/>
    <w:rsid w:val="004F1620"/>
    <w:rsid w:val="004F5352"/>
    <w:rsid w:val="00503428"/>
    <w:rsid w:val="005035D5"/>
    <w:rsid w:val="00503F97"/>
    <w:rsid w:val="00504F44"/>
    <w:rsid w:val="005060C7"/>
    <w:rsid w:val="00506D9A"/>
    <w:rsid w:val="00510BAA"/>
    <w:rsid w:val="00515847"/>
    <w:rsid w:val="00521311"/>
    <w:rsid w:val="00521636"/>
    <w:rsid w:val="0054092C"/>
    <w:rsid w:val="00552E7B"/>
    <w:rsid w:val="00553455"/>
    <w:rsid w:val="005547BC"/>
    <w:rsid w:val="00555A35"/>
    <w:rsid w:val="0056490F"/>
    <w:rsid w:val="00564B5C"/>
    <w:rsid w:val="00575881"/>
    <w:rsid w:val="00576220"/>
    <w:rsid w:val="0057659C"/>
    <w:rsid w:val="0058015F"/>
    <w:rsid w:val="005836AE"/>
    <w:rsid w:val="00584CB5"/>
    <w:rsid w:val="005951E9"/>
    <w:rsid w:val="00595B4E"/>
    <w:rsid w:val="00595C09"/>
    <w:rsid w:val="00596940"/>
    <w:rsid w:val="005B18A2"/>
    <w:rsid w:val="005B4C5D"/>
    <w:rsid w:val="005C08DA"/>
    <w:rsid w:val="005C092C"/>
    <w:rsid w:val="005C1E01"/>
    <w:rsid w:val="005C581E"/>
    <w:rsid w:val="005D0E35"/>
    <w:rsid w:val="005D3F4F"/>
    <w:rsid w:val="005E20B1"/>
    <w:rsid w:val="005E2DC8"/>
    <w:rsid w:val="005F5055"/>
    <w:rsid w:val="005F785F"/>
    <w:rsid w:val="00611EDE"/>
    <w:rsid w:val="006136BC"/>
    <w:rsid w:val="00613838"/>
    <w:rsid w:val="00620405"/>
    <w:rsid w:val="006240C3"/>
    <w:rsid w:val="0063032E"/>
    <w:rsid w:val="00645E57"/>
    <w:rsid w:val="00647FD7"/>
    <w:rsid w:val="00650E38"/>
    <w:rsid w:val="00654250"/>
    <w:rsid w:val="006560D1"/>
    <w:rsid w:val="00656974"/>
    <w:rsid w:val="006628A5"/>
    <w:rsid w:val="00664387"/>
    <w:rsid w:val="00664CA6"/>
    <w:rsid w:val="006846DE"/>
    <w:rsid w:val="006964EB"/>
    <w:rsid w:val="006A3FC4"/>
    <w:rsid w:val="006A73A2"/>
    <w:rsid w:val="006B0EF2"/>
    <w:rsid w:val="006B3540"/>
    <w:rsid w:val="006B7F35"/>
    <w:rsid w:val="006C2B96"/>
    <w:rsid w:val="006D2F3F"/>
    <w:rsid w:val="006E3B7F"/>
    <w:rsid w:val="006E5524"/>
    <w:rsid w:val="006F4B5E"/>
    <w:rsid w:val="007046EA"/>
    <w:rsid w:val="00720890"/>
    <w:rsid w:val="00732B3D"/>
    <w:rsid w:val="00742313"/>
    <w:rsid w:val="0075221B"/>
    <w:rsid w:val="00753DA5"/>
    <w:rsid w:val="0075435E"/>
    <w:rsid w:val="00757518"/>
    <w:rsid w:val="00770E43"/>
    <w:rsid w:val="007843C1"/>
    <w:rsid w:val="0079078A"/>
    <w:rsid w:val="00792A87"/>
    <w:rsid w:val="00796521"/>
    <w:rsid w:val="007B164C"/>
    <w:rsid w:val="007B6816"/>
    <w:rsid w:val="007C6F76"/>
    <w:rsid w:val="007D1BF1"/>
    <w:rsid w:val="007E7E62"/>
    <w:rsid w:val="007F0ED4"/>
    <w:rsid w:val="007F6DF9"/>
    <w:rsid w:val="00804AD4"/>
    <w:rsid w:val="0080578E"/>
    <w:rsid w:val="00807C09"/>
    <w:rsid w:val="00814663"/>
    <w:rsid w:val="00816604"/>
    <w:rsid w:val="00816DFD"/>
    <w:rsid w:val="00821E07"/>
    <w:rsid w:val="008315DF"/>
    <w:rsid w:val="0083395D"/>
    <w:rsid w:val="0084173B"/>
    <w:rsid w:val="008436B7"/>
    <w:rsid w:val="00845064"/>
    <w:rsid w:val="00847992"/>
    <w:rsid w:val="00852D0B"/>
    <w:rsid w:val="008665FD"/>
    <w:rsid w:val="0087153D"/>
    <w:rsid w:val="008729DE"/>
    <w:rsid w:val="00877D75"/>
    <w:rsid w:val="008819AA"/>
    <w:rsid w:val="00891373"/>
    <w:rsid w:val="0089217A"/>
    <w:rsid w:val="008A4025"/>
    <w:rsid w:val="008A48E8"/>
    <w:rsid w:val="008B525B"/>
    <w:rsid w:val="008D29DE"/>
    <w:rsid w:val="008D3250"/>
    <w:rsid w:val="008E1590"/>
    <w:rsid w:val="008E4D03"/>
    <w:rsid w:val="008E7577"/>
    <w:rsid w:val="008F44CD"/>
    <w:rsid w:val="0090251B"/>
    <w:rsid w:val="0090736D"/>
    <w:rsid w:val="00912C3D"/>
    <w:rsid w:val="0091490A"/>
    <w:rsid w:val="00914C2D"/>
    <w:rsid w:val="00915468"/>
    <w:rsid w:val="00916495"/>
    <w:rsid w:val="009223AB"/>
    <w:rsid w:val="00924175"/>
    <w:rsid w:val="009273CC"/>
    <w:rsid w:val="00931218"/>
    <w:rsid w:val="00943777"/>
    <w:rsid w:val="00944816"/>
    <w:rsid w:val="00953B3C"/>
    <w:rsid w:val="0095559B"/>
    <w:rsid w:val="00965625"/>
    <w:rsid w:val="009754EF"/>
    <w:rsid w:val="00975773"/>
    <w:rsid w:val="00975A5C"/>
    <w:rsid w:val="00977209"/>
    <w:rsid w:val="0098391F"/>
    <w:rsid w:val="00985670"/>
    <w:rsid w:val="00985D65"/>
    <w:rsid w:val="00990149"/>
    <w:rsid w:val="009A3FF8"/>
    <w:rsid w:val="009B1F57"/>
    <w:rsid w:val="009B34FD"/>
    <w:rsid w:val="009B3B76"/>
    <w:rsid w:val="009B3E20"/>
    <w:rsid w:val="009C187F"/>
    <w:rsid w:val="009C2775"/>
    <w:rsid w:val="009C6D2B"/>
    <w:rsid w:val="009C7536"/>
    <w:rsid w:val="009D4210"/>
    <w:rsid w:val="009D58B9"/>
    <w:rsid w:val="009E6AA2"/>
    <w:rsid w:val="009E70B2"/>
    <w:rsid w:val="00A037A0"/>
    <w:rsid w:val="00A10D95"/>
    <w:rsid w:val="00A12792"/>
    <w:rsid w:val="00A1302F"/>
    <w:rsid w:val="00A13238"/>
    <w:rsid w:val="00A1591F"/>
    <w:rsid w:val="00A16B1D"/>
    <w:rsid w:val="00A1762E"/>
    <w:rsid w:val="00A23208"/>
    <w:rsid w:val="00A23F4F"/>
    <w:rsid w:val="00A55495"/>
    <w:rsid w:val="00A60032"/>
    <w:rsid w:val="00A65CB2"/>
    <w:rsid w:val="00A65DAB"/>
    <w:rsid w:val="00A7550E"/>
    <w:rsid w:val="00A810D6"/>
    <w:rsid w:val="00A812CF"/>
    <w:rsid w:val="00A86755"/>
    <w:rsid w:val="00A901FB"/>
    <w:rsid w:val="00A9399F"/>
    <w:rsid w:val="00A9505F"/>
    <w:rsid w:val="00AA6B97"/>
    <w:rsid w:val="00AA72F1"/>
    <w:rsid w:val="00AB126A"/>
    <w:rsid w:val="00AB32A3"/>
    <w:rsid w:val="00AB3440"/>
    <w:rsid w:val="00AD36B0"/>
    <w:rsid w:val="00AD55A4"/>
    <w:rsid w:val="00AE6B8E"/>
    <w:rsid w:val="00AE714A"/>
    <w:rsid w:val="00AF0966"/>
    <w:rsid w:val="00AF29C7"/>
    <w:rsid w:val="00AF6A9A"/>
    <w:rsid w:val="00AF6FE0"/>
    <w:rsid w:val="00B01B8A"/>
    <w:rsid w:val="00B01DA6"/>
    <w:rsid w:val="00B02E2B"/>
    <w:rsid w:val="00B02F88"/>
    <w:rsid w:val="00B03BB6"/>
    <w:rsid w:val="00B06ED8"/>
    <w:rsid w:val="00B10B92"/>
    <w:rsid w:val="00B134E9"/>
    <w:rsid w:val="00B13B81"/>
    <w:rsid w:val="00B1437E"/>
    <w:rsid w:val="00B1651C"/>
    <w:rsid w:val="00B235AB"/>
    <w:rsid w:val="00B41F8B"/>
    <w:rsid w:val="00B511E0"/>
    <w:rsid w:val="00B5219A"/>
    <w:rsid w:val="00B54F83"/>
    <w:rsid w:val="00B567C8"/>
    <w:rsid w:val="00B67B5D"/>
    <w:rsid w:val="00B775E3"/>
    <w:rsid w:val="00B90BD7"/>
    <w:rsid w:val="00B95CE6"/>
    <w:rsid w:val="00BA164D"/>
    <w:rsid w:val="00BB6B0D"/>
    <w:rsid w:val="00BC57CA"/>
    <w:rsid w:val="00BC65C4"/>
    <w:rsid w:val="00BD08BC"/>
    <w:rsid w:val="00BD52B3"/>
    <w:rsid w:val="00BD6B08"/>
    <w:rsid w:val="00BD7FD0"/>
    <w:rsid w:val="00BE30AB"/>
    <w:rsid w:val="00BE51ED"/>
    <w:rsid w:val="00BE7B2C"/>
    <w:rsid w:val="00BF14BE"/>
    <w:rsid w:val="00BF76D5"/>
    <w:rsid w:val="00C00A44"/>
    <w:rsid w:val="00C06950"/>
    <w:rsid w:val="00C113CA"/>
    <w:rsid w:val="00C136F0"/>
    <w:rsid w:val="00C17FC5"/>
    <w:rsid w:val="00C20419"/>
    <w:rsid w:val="00C31213"/>
    <w:rsid w:val="00C403C6"/>
    <w:rsid w:val="00C43260"/>
    <w:rsid w:val="00C60D9D"/>
    <w:rsid w:val="00C7467D"/>
    <w:rsid w:val="00C76645"/>
    <w:rsid w:val="00C96331"/>
    <w:rsid w:val="00CA4821"/>
    <w:rsid w:val="00CB177A"/>
    <w:rsid w:val="00CB486B"/>
    <w:rsid w:val="00CB5A06"/>
    <w:rsid w:val="00CB714E"/>
    <w:rsid w:val="00CC0286"/>
    <w:rsid w:val="00CC4A41"/>
    <w:rsid w:val="00CD6351"/>
    <w:rsid w:val="00CD7029"/>
    <w:rsid w:val="00CE547F"/>
    <w:rsid w:val="00CF3450"/>
    <w:rsid w:val="00CF5D27"/>
    <w:rsid w:val="00CF67F2"/>
    <w:rsid w:val="00D04C02"/>
    <w:rsid w:val="00D11FE0"/>
    <w:rsid w:val="00D122D8"/>
    <w:rsid w:val="00D1573D"/>
    <w:rsid w:val="00D20EFC"/>
    <w:rsid w:val="00D24806"/>
    <w:rsid w:val="00D24F84"/>
    <w:rsid w:val="00D25398"/>
    <w:rsid w:val="00D26DB8"/>
    <w:rsid w:val="00D271D8"/>
    <w:rsid w:val="00D30856"/>
    <w:rsid w:val="00D334DB"/>
    <w:rsid w:val="00D3445C"/>
    <w:rsid w:val="00D34BF3"/>
    <w:rsid w:val="00D3590F"/>
    <w:rsid w:val="00D35A23"/>
    <w:rsid w:val="00D37287"/>
    <w:rsid w:val="00D3732B"/>
    <w:rsid w:val="00D41ED9"/>
    <w:rsid w:val="00D42560"/>
    <w:rsid w:val="00D442F0"/>
    <w:rsid w:val="00D443B4"/>
    <w:rsid w:val="00D45D03"/>
    <w:rsid w:val="00D45F2A"/>
    <w:rsid w:val="00D47AC8"/>
    <w:rsid w:val="00D50141"/>
    <w:rsid w:val="00D53CEE"/>
    <w:rsid w:val="00D55E9E"/>
    <w:rsid w:val="00D615C3"/>
    <w:rsid w:val="00D74CB6"/>
    <w:rsid w:val="00D82D72"/>
    <w:rsid w:val="00D8764C"/>
    <w:rsid w:val="00D978EB"/>
    <w:rsid w:val="00DA5F58"/>
    <w:rsid w:val="00DA6FCB"/>
    <w:rsid w:val="00DB3521"/>
    <w:rsid w:val="00DB51FB"/>
    <w:rsid w:val="00DC2AA7"/>
    <w:rsid w:val="00DD2B87"/>
    <w:rsid w:val="00DE6AB9"/>
    <w:rsid w:val="00DF4C36"/>
    <w:rsid w:val="00E01BEE"/>
    <w:rsid w:val="00E04917"/>
    <w:rsid w:val="00E12D02"/>
    <w:rsid w:val="00E136C3"/>
    <w:rsid w:val="00E159AD"/>
    <w:rsid w:val="00E17310"/>
    <w:rsid w:val="00E22797"/>
    <w:rsid w:val="00E227AE"/>
    <w:rsid w:val="00E24B44"/>
    <w:rsid w:val="00E2539E"/>
    <w:rsid w:val="00E271B9"/>
    <w:rsid w:val="00E3374A"/>
    <w:rsid w:val="00E43A03"/>
    <w:rsid w:val="00E46FE9"/>
    <w:rsid w:val="00E5291E"/>
    <w:rsid w:val="00E55858"/>
    <w:rsid w:val="00E57E84"/>
    <w:rsid w:val="00E60628"/>
    <w:rsid w:val="00E61FF0"/>
    <w:rsid w:val="00E70A28"/>
    <w:rsid w:val="00E7659A"/>
    <w:rsid w:val="00E771C1"/>
    <w:rsid w:val="00E8053B"/>
    <w:rsid w:val="00E813F2"/>
    <w:rsid w:val="00E84D58"/>
    <w:rsid w:val="00E92926"/>
    <w:rsid w:val="00E93C19"/>
    <w:rsid w:val="00E97B34"/>
    <w:rsid w:val="00EA0F3B"/>
    <w:rsid w:val="00EA31C1"/>
    <w:rsid w:val="00EA4802"/>
    <w:rsid w:val="00EB0A3F"/>
    <w:rsid w:val="00EC0CD5"/>
    <w:rsid w:val="00EC74B0"/>
    <w:rsid w:val="00ED1B5F"/>
    <w:rsid w:val="00ED615F"/>
    <w:rsid w:val="00ED7DA6"/>
    <w:rsid w:val="00EE44B6"/>
    <w:rsid w:val="00EE55CA"/>
    <w:rsid w:val="00EE724B"/>
    <w:rsid w:val="00EF281F"/>
    <w:rsid w:val="00F04C0B"/>
    <w:rsid w:val="00F10491"/>
    <w:rsid w:val="00F141EB"/>
    <w:rsid w:val="00F20692"/>
    <w:rsid w:val="00F2281E"/>
    <w:rsid w:val="00F25C5C"/>
    <w:rsid w:val="00F3139C"/>
    <w:rsid w:val="00F31749"/>
    <w:rsid w:val="00F423D1"/>
    <w:rsid w:val="00F429B3"/>
    <w:rsid w:val="00F50B5A"/>
    <w:rsid w:val="00F511AD"/>
    <w:rsid w:val="00F54B02"/>
    <w:rsid w:val="00F56758"/>
    <w:rsid w:val="00F6632B"/>
    <w:rsid w:val="00F74A38"/>
    <w:rsid w:val="00F7732E"/>
    <w:rsid w:val="00F807FE"/>
    <w:rsid w:val="00F85262"/>
    <w:rsid w:val="00F928D5"/>
    <w:rsid w:val="00FA0BB6"/>
    <w:rsid w:val="00FA26BD"/>
    <w:rsid w:val="00FB13EA"/>
    <w:rsid w:val="00FC18D9"/>
    <w:rsid w:val="00FC2FF2"/>
    <w:rsid w:val="00FC328B"/>
    <w:rsid w:val="00FC7DC9"/>
    <w:rsid w:val="00FD46CF"/>
    <w:rsid w:val="00FE53CC"/>
    <w:rsid w:val="00FF286D"/>
    <w:rsid w:val="08AAA84B"/>
    <w:rsid w:val="0A598C15"/>
    <w:rsid w:val="0BD3A2EB"/>
    <w:rsid w:val="127E0495"/>
    <w:rsid w:val="12D712EC"/>
    <w:rsid w:val="1377A7CF"/>
    <w:rsid w:val="2E8291D8"/>
    <w:rsid w:val="30674F91"/>
    <w:rsid w:val="3644714A"/>
    <w:rsid w:val="374B1AF4"/>
    <w:rsid w:val="39645B5E"/>
    <w:rsid w:val="3F11C480"/>
    <w:rsid w:val="3F3D0492"/>
    <w:rsid w:val="434AF3D8"/>
    <w:rsid w:val="48C7ACAA"/>
    <w:rsid w:val="54A7F718"/>
    <w:rsid w:val="564D458F"/>
    <w:rsid w:val="59E1DA39"/>
    <w:rsid w:val="5F4ACABA"/>
    <w:rsid w:val="61594EA9"/>
    <w:rsid w:val="646DE23B"/>
    <w:rsid w:val="658977DA"/>
    <w:rsid w:val="7423D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DD951"/>
  <w15:chartTrackingRefBased/>
  <w15:docId w15:val="{12E8410E-F579-4CF8-967D-3A23A578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qFormat/>
    <w:rsid w:val="000E2300"/>
    <w:pPr>
      <w:spacing w:before="120" w:after="120" w:line="300" w:lineRule="atLeast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6B0"/>
    <w:pPr>
      <w:keepNext/>
      <w:keepLines/>
      <w:numPr>
        <w:numId w:val="6"/>
      </w:numPr>
      <w:spacing w:after="240"/>
      <w:outlineLvl w:val="0"/>
    </w:pPr>
    <w:rPr>
      <w:rFonts w:asciiTheme="majorHAnsi" w:eastAsiaTheme="majorEastAsia" w:hAnsiTheme="majorHAnsi" w:cstheme="majorBidi"/>
      <w:b/>
      <w:color w:val="6F407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36B0"/>
    <w:pPr>
      <w:keepNext/>
      <w:keepLines/>
      <w:numPr>
        <w:ilvl w:val="1"/>
        <w:numId w:val="6"/>
      </w:numPr>
      <w:spacing w:line="340" w:lineRule="atLeast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5303"/>
    <w:pPr>
      <w:keepNext/>
      <w:keepLines/>
      <w:numPr>
        <w:ilvl w:val="2"/>
        <w:numId w:val="6"/>
      </w:numPr>
      <w:spacing w:line="340" w:lineRule="atLeast"/>
      <w:outlineLvl w:val="2"/>
    </w:pPr>
    <w:rPr>
      <w:rFonts w:asciiTheme="majorHAnsi" w:eastAsiaTheme="majorEastAsia" w:hAnsiTheme="majorHAnsi" w:cstheme="majorBidi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pPr>
      <w:keepNext/>
      <w:keepLines/>
      <w:numPr>
        <w:ilvl w:val="3"/>
        <w:numId w:val="1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6F407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numPr>
        <w:ilvl w:val="3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6F407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pPr>
      <w:keepNext/>
      <w:keepLines/>
      <w:numPr>
        <w:ilvl w:val="4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4A2A4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pPr>
      <w:keepNext/>
      <w:keepLines/>
      <w:numPr>
        <w:ilvl w:val="5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4A2A4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pPr>
      <w:keepNext/>
      <w:keepLines/>
      <w:numPr>
        <w:ilvl w:val="7"/>
        <w:numId w:val="1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pPr>
      <w:keepNext/>
      <w:keepLines/>
      <w:numPr>
        <w:ilvl w:val="8"/>
        <w:numId w:val="1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6B0"/>
    <w:rPr>
      <w:rFonts w:asciiTheme="majorHAnsi" w:eastAsiaTheme="majorEastAsia" w:hAnsiTheme="majorHAnsi" w:cstheme="majorBidi"/>
      <w:b/>
      <w:color w:val="6F407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AD36B0"/>
    <w:rPr>
      <w:rFonts w:asciiTheme="majorHAnsi" w:eastAsiaTheme="majorEastAsia" w:hAnsiTheme="majorHAnsi" w:cstheme="majorBidi"/>
      <w:b/>
      <w:color w:val="000000" w:themeColor="text1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B5303"/>
    <w:rPr>
      <w:rFonts w:asciiTheme="majorHAnsi" w:eastAsiaTheme="majorEastAsia" w:hAnsiTheme="majorHAnsi" w:cstheme="majorBidi"/>
      <w:sz w:val="26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6F407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6F407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4A2A4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A2A4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A10D95"/>
    <w:pPr>
      <w:spacing w:line="600" w:lineRule="atLeast"/>
      <w:contextualSpacing/>
    </w:pPr>
    <w:rPr>
      <w:rFonts w:asciiTheme="majorHAnsi" w:eastAsiaTheme="majorEastAsia" w:hAnsiTheme="majorHAnsi" w:cstheme="majorBidi"/>
      <w:b/>
      <w:spacing w:val="-10"/>
      <w:kern w:val="28"/>
      <w:sz w:val="50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10D95"/>
    <w:rPr>
      <w:rFonts w:asciiTheme="majorHAnsi" w:eastAsiaTheme="majorEastAsia" w:hAnsiTheme="majorHAnsi" w:cstheme="majorBidi"/>
      <w:b/>
      <w:spacing w:val="-10"/>
      <w:kern w:val="28"/>
      <w:sz w:val="50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25B"/>
    <w:pPr>
      <w:spacing w:after="0" w:line="408" w:lineRule="atLeast"/>
    </w:pPr>
    <w:rPr>
      <w:b/>
      <w:bCs/>
      <w:color w:val="95569E" w:themeColor="accent1"/>
      <w:sz w:val="34"/>
      <w:szCs w:val="34"/>
    </w:rPr>
  </w:style>
  <w:style w:type="character" w:customStyle="1" w:styleId="SubtitleChar">
    <w:name w:val="Subtitle Char"/>
    <w:basedOn w:val="DefaultParagraphFont"/>
    <w:link w:val="Subtitle"/>
    <w:uiPriority w:val="11"/>
    <w:rsid w:val="008B525B"/>
    <w:rPr>
      <w:b/>
      <w:bCs/>
      <w:color w:val="95569E" w:themeColor="accent1"/>
      <w:sz w:val="34"/>
      <w:szCs w:val="34"/>
      <w:lang w:val="en-GB"/>
    </w:rPr>
  </w:style>
  <w:style w:type="character" w:styleId="SubtleEmphasis">
    <w:name w:val="Subtle Emphasis"/>
    <w:basedOn w:val="DefaultParagraphFont"/>
    <w:uiPriority w:val="19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Pr>
      <w:i/>
      <w:iCs/>
    </w:rPr>
  </w:style>
  <w:style w:type="character" w:styleId="IntenseEmphasis">
    <w:name w:val="Intense Emphasis"/>
    <w:basedOn w:val="DefaultParagraphFont"/>
    <w:uiPriority w:val="21"/>
    <w:rPr>
      <w:i/>
      <w:iCs/>
      <w:color w:val="95569E" w:themeColor="accent1"/>
    </w:rPr>
  </w:style>
  <w:style w:type="character" w:styleId="Strong">
    <w:name w:val="Strong"/>
    <w:basedOn w:val="DefaultParagraphFont"/>
    <w:uiPriority w:val="22"/>
    <w:rPr>
      <w:b/>
      <w:bCs/>
    </w:rPr>
  </w:style>
  <w:style w:type="paragraph" w:styleId="Quote">
    <w:name w:val="Quote"/>
    <w:basedOn w:val="Normal"/>
    <w:next w:val="Normal"/>
    <w:link w:val="QuoteChar"/>
    <w:uiPriority w:val="2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top w:val="single" w:sz="4" w:space="10" w:color="95569E" w:themeColor="accent1"/>
        <w:bottom w:val="single" w:sz="4" w:space="10" w:color="95569E" w:themeColor="accent1"/>
      </w:pBdr>
      <w:spacing w:before="360" w:after="360"/>
      <w:ind w:left="864" w:right="864"/>
      <w:jc w:val="center"/>
    </w:pPr>
    <w:rPr>
      <w:i/>
      <w:iCs/>
      <w:color w:val="95569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95569E" w:themeColor="accent1"/>
    </w:rPr>
  </w:style>
  <w:style w:type="character" w:styleId="SubtleReference">
    <w:name w:val="Subtle Reference"/>
    <w:basedOn w:val="DefaultParagraphFont"/>
    <w:uiPriority w:val="31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Pr>
      <w:b/>
      <w:bCs/>
      <w:smallCaps/>
      <w:color w:val="95569E" w:themeColor="accent1"/>
      <w:spacing w:val="5"/>
    </w:rPr>
  </w:style>
  <w:style w:type="character" w:styleId="BookTitle">
    <w:name w:val="Book Title"/>
    <w:basedOn w:val="DefaultParagraphFont"/>
    <w:uiPriority w:val="33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3FF8"/>
    <w:rPr>
      <w:rFonts w:asciiTheme="minorHAnsi" w:hAnsiTheme="minorHAnsi" w:cs="Arial"/>
      <w:color w:val="0000FF"/>
      <w:sz w:val="22"/>
      <w:szCs w:val="24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E813F2"/>
    <w:rPr>
      <w:rFonts w:asciiTheme="minorHAnsi" w:hAnsiTheme="minorHAnsi"/>
      <w:b w:val="0"/>
      <w:color w:val="95569E" w:themeColor="accent1"/>
      <w:sz w:val="24"/>
      <w:u w:val="none"/>
    </w:rPr>
  </w:style>
  <w:style w:type="paragraph" w:styleId="Caption">
    <w:name w:val="caption"/>
    <w:basedOn w:val="Normal"/>
    <w:next w:val="Normal"/>
    <w:uiPriority w:val="35"/>
    <w:unhideWhenUsed/>
    <w:rsid w:val="002905C0"/>
    <w:pPr>
      <w:spacing w:line="240" w:lineRule="atLeast"/>
    </w:pPr>
    <w:rPr>
      <w:iCs/>
      <w:sz w:val="16"/>
      <w:szCs w:val="18"/>
    </w:rPr>
  </w:style>
  <w:style w:type="paragraph" w:styleId="Header">
    <w:name w:val="header"/>
    <w:basedOn w:val="Normal"/>
    <w:link w:val="HeaderChar"/>
    <w:uiPriority w:val="99"/>
    <w:unhideWhenUsed/>
    <w:rsid w:val="006B35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540"/>
  </w:style>
  <w:style w:type="paragraph" w:styleId="Footer">
    <w:name w:val="footer"/>
    <w:basedOn w:val="Normal"/>
    <w:link w:val="FooterChar"/>
    <w:uiPriority w:val="99"/>
    <w:unhideWhenUsed/>
    <w:rsid w:val="00D1573D"/>
    <w:pPr>
      <w:spacing w:after="0" w:line="200" w:lineRule="atLeast"/>
    </w:pPr>
    <w:rPr>
      <w:bCs/>
      <w:noProof/>
      <w:color w:val="3C3C3B" w:themeColor="text2"/>
      <w:kern w:val="0"/>
      <w:sz w:val="16"/>
      <w:lang w:eastAsia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1573D"/>
    <w:rPr>
      <w:bCs/>
      <w:noProof/>
      <w:color w:val="3C3C3B" w:themeColor="text2"/>
      <w:sz w:val="16"/>
      <w:lang w:val="en-GB" w:eastAsia="en-GB"/>
    </w:rPr>
  </w:style>
  <w:style w:type="paragraph" w:customStyle="1" w:styleId="Footer6pt">
    <w:name w:val="Footer 6pt"/>
    <w:basedOn w:val="Footer"/>
    <w:rsid w:val="005D3F4F"/>
    <w:pPr>
      <w:spacing w:before="40" w:after="40" w:line="140" w:lineRule="atLeast"/>
      <w:contextualSpacing/>
    </w:pPr>
    <w:rPr>
      <w:sz w:val="12"/>
    </w:rPr>
  </w:style>
  <w:style w:type="table" w:styleId="TableGrid">
    <w:name w:val="Table Grid"/>
    <w:basedOn w:val="TableNormal"/>
    <w:uiPriority w:val="39"/>
    <w:rsid w:val="005D0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D0E35"/>
    <w:rPr>
      <w:color w:val="808080"/>
    </w:rPr>
  </w:style>
  <w:style w:type="paragraph" w:styleId="NoSpacing">
    <w:name w:val="No Spacing"/>
    <w:uiPriority w:val="1"/>
    <w:rsid w:val="007B6816"/>
    <w:rPr>
      <w:sz w:val="4"/>
    </w:rPr>
  </w:style>
  <w:style w:type="paragraph" w:customStyle="1" w:styleId="ReportText">
    <w:name w:val="Report Text"/>
    <w:basedOn w:val="Normal"/>
    <w:qFormat/>
    <w:rsid w:val="008B525B"/>
    <w:pPr>
      <w:spacing w:after="0" w:line="504" w:lineRule="atLeast"/>
    </w:pPr>
    <w:rPr>
      <w:b/>
      <w:color w:val="95569E" w:themeColor="accent1"/>
      <w:sz w:val="42"/>
    </w:rPr>
  </w:style>
  <w:style w:type="paragraph" w:customStyle="1" w:styleId="SubtitleBlack">
    <w:name w:val="Subtitle Black"/>
    <w:basedOn w:val="Subtitle"/>
    <w:qFormat/>
    <w:rsid w:val="008B525B"/>
    <w:rPr>
      <w:color w:val="auto"/>
    </w:rPr>
  </w:style>
  <w:style w:type="paragraph" w:customStyle="1" w:styleId="AuthorsName">
    <w:name w:val="Authors Name"/>
    <w:basedOn w:val="SubtitleBlack"/>
    <w:qFormat/>
    <w:rsid w:val="002905C0"/>
    <w:rPr>
      <w:b w:val="0"/>
      <w:bCs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05C0"/>
    <w:rPr>
      <w:color w:val="808080"/>
      <w:shd w:val="clear" w:color="auto" w:fill="E6E6E6"/>
    </w:rPr>
  </w:style>
  <w:style w:type="paragraph" w:styleId="ListNumber">
    <w:name w:val="List Number"/>
    <w:basedOn w:val="Heading1"/>
    <w:uiPriority w:val="99"/>
    <w:unhideWhenUsed/>
    <w:rsid w:val="00024F11"/>
    <w:pPr>
      <w:ind w:left="714" w:hanging="700"/>
    </w:pPr>
  </w:style>
  <w:style w:type="paragraph" w:styleId="ListContinue">
    <w:name w:val="List Continue"/>
    <w:basedOn w:val="Normal"/>
    <w:uiPriority w:val="99"/>
    <w:unhideWhenUsed/>
    <w:rsid w:val="00AD36B0"/>
    <w:pPr>
      <w:ind w:left="283"/>
      <w:contextualSpacing/>
    </w:pPr>
  </w:style>
  <w:style w:type="paragraph" w:customStyle="1" w:styleId="TableTitle">
    <w:name w:val="Table Title"/>
    <w:basedOn w:val="Caption"/>
    <w:qFormat/>
    <w:rsid w:val="003B2625"/>
    <w:pPr>
      <w:numPr>
        <w:numId w:val="14"/>
      </w:numPr>
      <w:spacing w:line="280" w:lineRule="atLeast"/>
    </w:pPr>
    <w:rPr>
      <w:b/>
      <w:bCs/>
      <w:sz w:val="24"/>
      <w:szCs w:val="24"/>
    </w:rPr>
  </w:style>
  <w:style w:type="paragraph" w:styleId="ListBullet">
    <w:name w:val="List Bullet"/>
    <w:basedOn w:val="Normal"/>
    <w:uiPriority w:val="99"/>
    <w:unhideWhenUsed/>
    <w:qFormat/>
    <w:rsid w:val="00CD6351"/>
    <w:pPr>
      <w:numPr>
        <w:numId w:val="13"/>
      </w:numPr>
    </w:pPr>
  </w:style>
  <w:style w:type="paragraph" w:customStyle="1" w:styleId="MainHeading">
    <w:name w:val="Main Heading"/>
    <w:basedOn w:val="Normal"/>
    <w:next w:val="Normal"/>
    <w:qFormat/>
    <w:rsid w:val="00A60032"/>
    <w:pPr>
      <w:spacing w:after="480"/>
    </w:pPr>
    <w:rPr>
      <w:b/>
      <w:color w:val="95569E" w:themeColor="accent1"/>
      <w:sz w:val="32"/>
    </w:rPr>
  </w:style>
  <w:style w:type="paragraph" w:customStyle="1" w:styleId="ContentsStyle">
    <w:name w:val="Contents Style"/>
    <w:basedOn w:val="Normal"/>
    <w:qFormat/>
    <w:rsid w:val="00A60032"/>
    <w:pPr>
      <w:spacing w:after="480"/>
    </w:pPr>
    <w:rPr>
      <w:b/>
      <w:color w:val="95569E" w:themeColor="accent1"/>
      <w:sz w:val="32"/>
    </w:rPr>
  </w:style>
  <w:style w:type="paragraph" w:styleId="BodyText">
    <w:name w:val="Body Text"/>
    <w:basedOn w:val="TableTitle"/>
    <w:link w:val="BodyTextChar"/>
    <w:uiPriority w:val="99"/>
    <w:unhideWhenUsed/>
    <w:rsid w:val="00654250"/>
    <w:pPr>
      <w:spacing w:after="0" w:line="240" w:lineRule="auto"/>
      <w:ind w:left="113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654250"/>
    <w:rPr>
      <w:b/>
      <w:bCs/>
      <w:iCs/>
      <w:lang w:val="en-GB"/>
    </w:rPr>
  </w:style>
  <w:style w:type="paragraph" w:styleId="BodyText2">
    <w:name w:val="Body Text 2"/>
    <w:basedOn w:val="BodyText"/>
    <w:link w:val="BodyText2Char"/>
    <w:uiPriority w:val="99"/>
    <w:unhideWhenUsed/>
    <w:rsid w:val="00654250"/>
    <w:pPr>
      <w:spacing w:before="0"/>
    </w:pPr>
    <w:rPr>
      <w:b w:val="0"/>
      <w:bCs w:val="0"/>
    </w:rPr>
  </w:style>
  <w:style w:type="character" w:customStyle="1" w:styleId="BodyText2Char">
    <w:name w:val="Body Text 2 Char"/>
    <w:basedOn w:val="DefaultParagraphFont"/>
    <w:link w:val="BodyText2"/>
    <w:uiPriority w:val="99"/>
    <w:rsid w:val="00654250"/>
    <w:rPr>
      <w:iCs/>
      <w:lang w:val="en-GB"/>
    </w:rPr>
  </w:style>
  <w:style w:type="paragraph" w:customStyle="1" w:styleId="BackCoverTitle">
    <w:name w:val="Back Cover Title"/>
    <w:basedOn w:val="AuthorsName"/>
    <w:qFormat/>
    <w:rsid w:val="006B0EF2"/>
    <w:pPr>
      <w:spacing w:line="560" w:lineRule="exact"/>
    </w:pPr>
    <w:rPr>
      <w:color w:val="95569E" w:themeColor="accent1"/>
      <w:sz w:val="56"/>
      <w:szCs w:val="56"/>
    </w:rPr>
  </w:style>
  <w:style w:type="paragraph" w:customStyle="1" w:styleId="ContactDetails">
    <w:name w:val="Contact Details"/>
    <w:basedOn w:val="Caption"/>
    <w:qFormat/>
    <w:rsid w:val="007046EA"/>
  </w:style>
  <w:style w:type="paragraph" w:styleId="TOC2">
    <w:name w:val="toc 2"/>
    <w:basedOn w:val="TOC1"/>
    <w:next w:val="Normal"/>
    <w:autoRedefine/>
    <w:uiPriority w:val="39"/>
    <w:unhideWhenUsed/>
    <w:rsid w:val="007F0ED4"/>
    <w:pPr>
      <w:tabs>
        <w:tab w:val="clear" w:pos="9639"/>
        <w:tab w:val="left" w:pos="680"/>
        <w:tab w:val="right" w:pos="9631"/>
      </w:tabs>
      <w:spacing w:line="360" w:lineRule="atLeast"/>
    </w:pPr>
    <w:rPr>
      <w:bCs/>
      <w:color w:val="000000" w:themeColor="text1"/>
    </w:rPr>
  </w:style>
  <w:style w:type="paragraph" w:styleId="TOC1">
    <w:name w:val="toc 1"/>
    <w:basedOn w:val="Normal"/>
    <w:next w:val="Normal"/>
    <w:autoRedefine/>
    <w:uiPriority w:val="39"/>
    <w:unhideWhenUsed/>
    <w:rsid w:val="007F0ED4"/>
    <w:pPr>
      <w:tabs>
        <w:tab w:val="right" w:pos="9639"/>
      </w:tabs>
    </w:pPr>
    <w:rPr>
      <w:noProof/>
      <w:color w:val="95569E" w:themeColor="accent1"/>
    </w:rPr>
  </w:style>
  <w:style w:type="paragraph" w:styleId="TOC3">
    <w:name w:val="toc 3"/>
    <w:basedOn w:val="TOC4"/>
    <w:next w:val="Normal"/>
    <w:autoRedefine/>
    <w:uiPriority w:val="39"/>
    <w:unhideWhenUsed/>
    <w:rsid w:val="007F0ED4"/>
  </w:style>
  <w:style w:type="paragraph" w:styleId="TOC4">
    <w:name w:val="toc 4"/>
    <w:basedOn w:val="Normal"/>
    <w:next w:val="Normal"/>
    <w:autoRedefine/>
    <w:uiPriority w:val="39"/>
    <w:unhideWhenUsed/>
    <w:rsid w:val="007F0ED4"/>
    <w:pPr>
      <w:tabs>
        <w:tab w:val="left" w:pos="680"/>
        <w:tab w:val="right" w:pos="9631"/>
      </w:tabs>
      <w:spacing w:after="100"/>
    </w:pPr>
    <w:rPr>
      <w:noProof/>
    </w:rPr>
  </w:style>
  <w:style w:type="paragraph" w:styleId="List">
    <w:name w:val="List"/>
    <w:basedOn w:val="Heading1"/>
    <w:uiPriority w:val="99"/>
    <w:unhideWhenUsed/>
    <w:qFormat/>
    <w:rsid w:val="000945F4"/>
  </w:style>
  <w:style w:type="paragraph" w:styleId="TOC5">
    <w:name w:val="toc 5"/>
    <w:basedOn w:val="Normal"/>
    <w:next w:val="Normal"/>
    <w:autoRedefine/>
    <w:uiPriority w:val="39"/>
    <w:unhideWhenUsed/>
    <w:rsid w:val="007F0ED4"/>
    <w:pPr>
      <w:tabs>
        <w:tab w:val="left" w:pos="680"/>
        <w:tab w:val="right" w:pos="9631"/>
      </w:tabs>
      <w:spacing w:after="100"/>
    </w:pPr>
    <w:rPr>
      <w:noProof/>
    </w:rPr>
  </w:style>
  <w:style w:type="paragraph" w:styleId="TOC6">
    <w:name w:val="toc 6"/>
    <w:basedOn w:val="TOC4"/>
    <w:next w:val="Normal"/>
    <w:autoRedefine/>
    <w:uiPriority w:val="39"/>
    <w:unhideWhenUsed/>
    <w:rsid w:val="007F0ED4"/>
  </w:style>
  <w:style w:type="paragraph" w:customStyle="1" w:styleId="TableHeading">
    <w:name w:val="Table Heading"/>
    <w:basedOn w:val="BodyText"/>
    <w:qFormat/>
    <w:rsid w:val="00382524"/>
    <w:pPr>
      <w:numPr>
        <w:numId w:val="0"/>
      </w:numPr>
      <w:ind w:left="113" w:right="113"/>
    </w:pPr>
  </w:style>
  <w:style w:type="paragraph" w:customStyle="1" w:styleId="TableText">
    <w:name w:val="Table Text"/>
    <w:basedOn w:val="BodyText2"/>
    <w:qFormat/>
    <w:rsid w:val="00382524"/>
    <w:pPr>
      <w:numPr>
        <w:numId w:val="0"/>
      </w:numPr>
      <w:ind w:left="113" w:right="113"/>
    </w:pPr>
  </w:style>
  <w:style w:type="paragraph" w:customStyle="1" w:styleId="NoteSourceText">
    <w:name w:val="Note/Source Text"/>
    <w:basedOn w:val="Caption"/>
    <w:qFormat/>
    <w:rsid w:val="004F1620"/>
    <w:pPr>
      <w:spacing w:after="80"/>
    </w:pPr>
    <w:rPr>
      <w:sz w:val="20"/>
      <w:szCs w:val="20"/>
    </w:rPr>
  </w:style>
  <w:style w:type="character" w:styleId="PageNumber">
    <w:name w:val="page number"/>
    <w:basedOn w:val="DefaultParagraphFont"/>
    <w:uiPriority w:val="99"/>
    <w:unhideWhenUsed/>
    <w:rsid w:val="00D1573D"/>
    <w:rPr>
      <w:b/>
      <w:sz w:val="16"/>
    </w:rPr>
  </w:style>
  <w:style w:type="paragraph" w:styleId="MessageHeader">
    <w:name w:val="Message Header"/>
    <w:basedOn w:val="Normal"/>
    <w:link w:val="MessageHeaderChar"/>
    <w:uiPriority w:val="99"/>
    <w:unhideWhenUsed/>
    <w:qFormat/>
    <w:rsid w:val="008B525B"/>
    <w:pPr>
      <w:spacing w:after="0"/>
    </w:pPr>
    <w:rPr>
      <w:b/>
      <w:bCs/>
      <w:color w:val="3C3C3B" w:themeColor="text2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B525B"/>
    <w:rPr>
      <w:b/>
      <w:bCs/>
      <w:color w:val="3C3C3B" w:themeColor="text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35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352"/>
    <w:rPr>
      <w:rFonts w:ascii="Segoe UI" w:hAnsi="Segoe UI" w:cs="Segoe UI"/>
      <w:sz w:val="18"/>
      <w:szCs w:val="18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D1573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D1573D"/>
    <w:rPr>
      <w:lang w:val="en-GB"/>
    </w:rPr>
  </w:style>
  <w:style w:type="table" w:styleId="ListTable5Dark-Accent1">
    <w:name w:val="List Table 5 Dark Accent 1"/>
    <w:basedOn w:val="TableNormal"/>
    <w:uiPriority w:val="50"/>
    <w:rsid w:val="00C96331"/>
    <w:rPr>
      <w:color w:val="FFFFFF" w:themeColor="background1"/>
    </w:rPr>
    <w:tblPr>
      <w:tblStyleRowBandSize w:val="1"/>
      <w:tblStyleColBandSize w:val="1"/>
      <w:tblBorders>
        <w:top w:val="single" w:sz="24" w:space="0" w:color="95569E" w:themeColor="accent1"/>
        <w:left w:val="single" w:sz="24" w:space="0" w:color="95569E" w:themeColor="accent1"/>
        <w:bottom w:val="single" w:sz="24" w:space="0" w:color="95569E" w:themeColor="accent1"/>
        <w:right w:val="single" w:sz="24" w:space="0" w:color="95569E" w:themeColor="accent1"/>
      </w:tblBorders>
    </w:tblPr>
    <w:tcPr>
      <w:shd w:val="clear" w:color="auto" w:fill="95569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315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15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15D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5DF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D41ED9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51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xplore-education-statistics.service.gov.uk/find-statistics/school-workforce-in-england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FER Theme Colours">
      <a:dk1>
        <a:sysClr val="windowText" lastClr="000000"/>
      </a:dk1>
      <a:lt1>
        <a:sysClr val="window" lastClr="FFFFFF"/>
      </a:lt1>
      <a:dk2>
        <a:srgbClr val="3C3C3B"/>
      </a:dk2>
      <a:lt2>
        <a:srgbClr val="CACBCC"/>
      </a:lt2>
      <a:accent1>
        <a:srgbClr val="95569E"/>
      </a:accent1>
      <a:accent2>
        <a:srgbClr val="3EAD5C"/>
      </a:accent2>
      <a:accent3>
        <a:srgbClr val="00AACA"/>
      </a:accent3>
      <a:accent4>
        <a:srgbClr val="E9425C"/>
      </a:accent4>
      <a:accent5>
        <a:srgbClr val="F3953F"/>
      </a:accent5>
      <a:accent6>
        <a:srgbClr val="C3D32B"/>
      </a:accent6>
      <a:hlink>
        <a:srgbClr val="000000"/>
      </a:hlink>
      <a:folHlink>
        <a:srgbClr val="A7A8AA"/>
      </a:folHlink>
    </a:clrScheme>
    <a:fontScheme name="NFER Them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chemeClr val="accent1">
            <a:lumMod val="20000"/>
            <a:lumOff val="80000"/>
          </a:schemeClr>
        </a:solidFill>
        <a:ln w="9525">
          <a:noFill/>
          <a:miter lim="800000"/>
          <a:headEnd/>
          <a:tailEnd/>
        </a:ln>
      </a:spPr>
      <a:bodyPr rot="0" vert="horz" wrap="square" lIns="108000" tIns="144000" rIns="72000" bIns="7200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C63808-1375-42F2-83AE-ADE3813D6A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50DD8C-E0FB-4AE3-BC6A-726DD9BAF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85763B-8B77-4221-90A8-BA88FF6A1B53}">
  <ds:schemaRefs>
    <ds:schemaRef ds:uri="http://schemas.microsoft.com/office/2006/metadata/properties"/>
    <ds:schemaRef ds:uri="3995883a-d786-4b4f-a5c8-93a53e2574e9"/>
    <ds:schemaRef ds:uri="http://schemas.microsoft.com/office/infopath/2007/PartnerControls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0F872DF0-82C4-4398-BE64-A2BB9113D5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3951</Characters>
  <Application>Microsoft Office Word</Application>
  <DocSecurity>4</DocSecurity>
  <Lines>32</Lines>
  <Paragraphs>9</Paragraphs>
  <ScaleCrop>false</ScaleCrop>
  <Company>NFER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Tang, Sarah</dc:creator>
  <cp:keywords/>
  <dc:description/>
  <cp:lastModifiedBy>Max Fincher</cp:lastModifiedBy>
  <cp:revision>2</cp:revision>
  <cp:lastPrinted>2018-03-06T08:44:00Z</cp:lastPrinted>
  <dcterms:created xsi:type="dcterms:W3CDTF">2024-10-08T08:54:00Z</dcterms:created>
  <dcterms:modified xsi:type="dcterms:W3CDTF">2024-10-08T08:54:00Z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0x0101006CBBF16E633EAB4FA7E9031C0B63CD54</vt:lpwstr>
  </property>
</Properties>
</file>