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3B3EA" w14:textId="0997B9EB" w:rsidR="008803D7" w:rsidRDefault="003A69D9" w:rsidP="00F9206C">
      <w:pPr>
        <w:rPr>
          <w:b/>
          <w:bCs/>
          <w:u w:val="single"/>
        </w:rPr>
      </w:pPr>
      <w:r>
        <w:rPr>
          <w:noProof/>
          <w:sz w:val="12"/>
          <w:lang w:eastAsia="en-GB"/>
        </w:rPr>
        <w:drawing>
          <wp:inline distT="0" distB="0" distL="0" distR="0" wp14:anchorId="1CC413F0" wp14:editId="293D8E12">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p>
    <w:p w14:paraId="580EDA31" w14:textId="77777777" w:rsidR="008803D7" w:rsidRDefault="008803D7" w:rsidP="00F9206C">
      <w:pPr>
        <w:rPr>
          <w:b/>
          <w:bCs/>
          <w:u w:val="single"/>
        </w:rPr>
      </w:pPr>
    </w:p>
    <w:p w14:paraId="19C0D0A7" w14:textId="77777777" w:rsidR="003A69D9" w:rsidRDefault="003A69D9" w:rsidP="00F9206C">
      <w:pPr>
        <w:rPr>
          <w:b/>
          <w:bCs/>
          <w:u w:val="single"/>
        </w:rPr>
      </w:pPr>
    </w:p>
    <w:p w14:paraId="565E5C32" w14:textId="77777777" w:rsidR="003A69D9" w:rsidRDefault="003A69D9" w:rsidP="00F9206C">
      <w:pPr>
        <w:rPr>
          <w:b/>
          <w:bCs/>
          <w:u w:val="single"/>
        </w:rPr>
      </w:pPr>
    </w:p>
    <w:p w14:paraId="091C58BB" w14:textId="146C2D13" w:rsidR="00F9206C" w:rsidRPr="00F9206C" w:rsidRDefault="00F9206C" w:rsidP="003A69D9">
      <w:pPr>
        <w:jc w:val="center"/>
        <w:rPr>
          <w:rFonts w:eastAsia="Times New Roman"/>
          <w:b/>
          <w:bCs/>
          <w:u w:val="single"/>
        </w:rPr>
      </w:pPr>
      <w:r>
        <w:rPr>
          <w:b/>
          <w:bCs/>
          <w:u w:val="single"/>
        </w:rPr>
        <w:t xml:space="preserve">Issues to be covered in ITAP and feedback from DfE </w:t>
      </w:r>
      <w:r w:rsidR="003A69D9">
        <w:rPr>
          <w:b/>
          <w:bCs/>
          <w:u w:val="single"/>
        </w:rPr>
        <w:t>A</w:t>
      </w:r>
      <w:r>
        <w:rPr>
          <w:b/>
          <w:bCs/>
          <w:u w:val="single"/>
        </w:rPr>
        <w:t>ssociates</w:t>
      </w:r>
    </w:p>
    <w:p w14:paraId="4B18AD2D" w14:textId="77777777" w:rsidR="00F9206C" w:rsidRDefault="00F9206C" w:rsidP="00F9206C">
      <w:pPr>
        <w:rPr>
          <w:rFonts w:eastAsia="Times New Roman"/>
        </w:rPr>
      </w:pPr>
    </w:p>
    <w:p w14:paraId="15D543DA" w14:textId="2107AE51" w:rsidR="00F9206C" w:rsidRPr="00F9206C" w:rsidRDefault="00F9206C" w:rsidP="00F9206C">
      <w:pPr>
        <w:rPr>
          <w:rFonts w:eastAsia="Times New Roman"/>
          <w:i/>
          <w:iCs/>
        </w:rPr>
      </w:pPr>
      <w:r>
        <w:rPr>
          <w:rFonts w:eastAsia="Times New Roman"/>
          <w:i/>
          <w:iCs/>
        </w:rPr>
        <w:t>Institution 1</w:t>
      </w:r>
    </w:p>
    <w:p w14:paraId="7CF7F74E" w14:textId="77777777" w:rsidR="00F9206C" w:rsidRPr="00F9206C" w:rsidRDefault="00F9206C" w:rsidP="00F9206C">
      <w:pPr>
        <w:rPr>
          <w:rFonts w:eastAsia="Times New Roman"/>
        </w:rPr>
      </w:pPr>
    </w:p>
    <w:p w14:paraId="4B3261A9" w14:textId="6DC1C885" w:rsidR="00E83B1A" w:rsidRPr="00F9206C" w:rsidRDefault="00F9206C" w:rsidP="00F9206C">
      <w:pPr>
        <w:pStyle w:val="ListParagraph"/>
        <w:numPr>
          <w:ilvl w:val="0"/>
          <w:numId w:val="3"/>
        </w:numPr>
        <w:rPr>
          <w:rFonts w:eastAsia="Times New Roman"/>
        </w:rPr>
      </w:pPr>
      <w:r w:rsidRPr="00F9206C">
        <w:rPr>
          <w:rFonts w:eastAsia="Times New Roman"/>
        </w:rPr>
        <w:t>R</w:t>
      </w:r>
      <w:r w:rsidR="00E83B1A" w:rsidRPr="00F9206C">
        <w:rPr>
          <w:rFonts w:eastAsia="Times New Roman"/>
        </w:rPr>
        <w:t xml:space="preserve">outines and proactive behaviour management, </w:t>
      </w:r>
    </w:p>
    <w:p w14:paraId="66D96416" w14:textId="77777777" w:rsidR="00E83B1A" w:rsidRDefault="00E83B1A" w:rsidP="00F9206C">
      <w:pPr>
        <w:pStyle w:val="ListParagraph"/>
        <w:numPr>
          <w:ilvl w:val="0"/>
          <w:numId w:val="3"/>
        </w:numPr>
      </w:pPr>
      <w:r>
        <w:t>SSP as part of Early Reading</w:t>
      </w:r>
    </w:p>
    <w:p w14:paraId="3CE19C13" w14:textId="77777777" w:rsidR="00E83B1A" w:rsidRDefault="00E83B1A" w:rsidP="00F9206C">
      <w:pPr>
        <w:pStyle w:val="ListParagraph"/>
        <w:numPr>
          <w:ilvl w:val="0"/>
          <w:numId w:val="3"/>
        </w:numPr>
      </w:pPr>
      <w:r>
        <w:t>Inclusion &amp; scaffolding</w:t>
      </w:r>
    </w:p>
    <w:p w14:paraId="362D56F3" w14:textId="77777777" w:rsidR="00E83B1A" w:rsidRDefault="00E83B1A" w:rsidP="00F9206C">
      <w:pPr>
        <w:pStyle w:val="ListParagraph"/>
        <w:numPr>
          <w:ilvl w:val="0"/>
          <w:numId w:val="3"/>
        </w:numPr>
      </w:pPr>
      <w:r>
        <w:t>Questioning &amp; feedback</w:t>
      </w:r>
    </w:p>
    <w:p w14:paraId="046D7E26" w14:textId="77777777" w:rsidR="00E83B1A" w:rsidRDefault="00E83B1A" w:rsidP="00E83B1A"/>
    <w:p w14:paraId="52A309E2" w14:textId="41DDA19C" w:rsidR="00EE31CE" w:rsidRDefault="002413F0" w:rsidP="00F50A42">
      <w:r>
        <w:rPr>
          <w:i/>
          <w:iCs/>
        </w:rPr>
        <w:t>Institution 2</w:t>
      </w:r>
    </w:p>
    <w:p w14:paraId="4F2A5E3A" w14:textId="77777777" w:rsidR="002413F0" w:rsidRDefault="002413F0" w:rsidP="00F50A42"/>
    <w:p w14:paraId="0F967910" w14:textId="77777777" w:rsidR="002413F0" w:rsidRPr="002413F0" w:rsidRDefault="002413F0" w:rsidP="002413F0">
      <w:pPr>
        <w:numPr>
          <w:ilvl w:val="0"/>
          <w:numId w:val="4"/>
        </w:numPr>
        <w:ind w:left="360"/>
        <w:rPr>
          <w:rFonts w:eastAsia="Times New Roman"/>
        </w:rPr>
      </w:pPr>
      <w:r w:rsidRPr="002413F0">
        <w:rPr>
          <w:rFonts w:eastAsia="Times New Roman"/>
        </w:rPr>
        <w:t>How Pupils Learn</w:t>
      </w:r>
    </w:p>
    <w:p w14:paraId="1AAF2452" w14:textId="77777777" w:rsidR="002413F0" w:rsidRPr="002413F0" w:rsidRDefault="002413F0" w:rsidP="002413F0">
      <w:pPr>
        <w:numPr>
          <w:ilvl w:val="0"/>
          <w:numId w:val="4"/>
        </w:numPr>
        <w:ind w:left="360"/>
        <w:rPr>
          <w:rFonts w:eastAsia="Times New Roman"/>
        </w:rPr>
      </w:pPr>
      <w:r w:rsidRPr="002413F0">
        <w:rPr>
          <w:rFonts w:eastAsia="Times New Roman"/>
        </w:rPr>
        <w:t>Managing Behaviour for Pupil Learning</w:t>
      </w:r>
    </w:p>
    <w:p w14:paraId="4C111888" w14:textId="77777777" w:rsidR="002413F0" w:rsidRPr="002413F0" w:rsidRDefault="002413F0" w:rsidP="002413F0">
      <w:pPr>
        <w:numPr>
          <w:ilvl w:val="0"/>
          <w:numId w:val="4"/>
        </w:numPr>
        <w:ind w:left="360"/>
        <w:rPr>
          <w:rFonts w:eastAsia="Times New Roman"/>
        </w:rPr>
      </w:pPr>
      <w:r w:rsidRPr="002413F0">
        <w:rPr>
          <w:rFonts w:eastAsia="Times New Roman"/>
        </w:rPr>
        <w:t>Promoting progression through Curriculum, Pedagogy and Assessment</w:t>
      </w:r>
    </w:p>
    <w:p w14:paraId="46E702D5" w14:textId="77777777" w:rsidR="002413F0" w:rsidRPr="002413F0" w:rsidRDefault="002413F0" w:rsidP="002413F0">
      <w:pPr>
        <w:numPr>
          <w:ilvl w:val="0"/>
          <w:numId w:val="4"/>
        </w:numPr>
        <w:ind w:left="360"/>
        <w:rPr>
          <w:rFonts w:eastAsia="Times New Roman"/>
        </w:rPr>
      </w:pPr>
      <w:r w:rsidRPr="002413F0">
        <w:rPr>
          <w:rFonts w:eastAsia="Times New Roman"/>
        </w:rPr>
        <w:t>Assessing Learning</w:t>
      </w:r>
    </w:p>
    <w:p w14:paraId="27646EA9" w14:textId="77777777" w:rsidR="002413F0" w:rsidRPr="002413F0" w:rsidRDefault="002413F0" w:rsidP="002413F0">
      <w:pPr>
        <w:numPr>
          <w:ilvl w:val="0"/>
          <w:numId w:val="4"/>
        </w:numPr>
        <w:ind w:left="360"/>
        <w:rPr>
          <w:rFonts w:eastAsia="Times New Roman"/>
        </w:rPr>
      </w:pPr>
      <w:r w:rsidRPr="002413F0">
        <w:rPr>
          <w:rFonts w:eastAsia="Times New Roman"/>
        </w:rPr>
        <w:t>Embedding and Enhancing Knowledge</w:t>
      </w:r>
    </w:p>
    <w:p w14:paraId="52F61599" w14:textId="77777777" w:rsidR="002413F0" w:rsidRDefault="002413F0" w:rsidP="002413F0">
      <w:pPr>
        <w:rPr>
          <w:rFonts w:eastAsia="Calibri"/>
        </w:rPr>
      </w:pPr>
    </w:p>
    <w:p w14:paraId="435567FF" w14:textId="595D0338" w:rsidR="00CF43B7" w:rsidRDefault="00CF43B7" w:rsidP="002413F0">
      <w:pPr>
        <w:rPr>
          <w:rFonts w:eastAsia="Calibri"/>
          <w:i/>
          <w:iCs/>
        </w:rPr>
      </w:pPr>
      <w:r>
        <w:rPr>
          <w:rFonts w:eastAsia="Calibri"/>
          <w:i/>
          <w:iCs/>
        </w:rPr>
        <w:t>Institution 3</w:t>
      </w:r>
    </w:p>
    <w:p w14:paraId="2B23DEE9" w14:textId="77777777" w:rsidR="00CF43B7" w:rsidRDefault="00CF43B7" w:rsidP="002413F0">
      <w:pPr>
        <w:rPr>
          <w:rFonts w:eastAsia="Calibri"/>
          <w:i/>
          <w:iCs/>
        </w:rPr>
      </w:pPr>
    </w:p>
    <w:p w14:paraId="62B64136" w14:textId="77777777" w:rsidR="00A21D05" w:rsidRDefault="00A21D05" w:rsidP="00A21D05"/>
    <w:p w14:paraId="04F0A277" w14:textId="77777777" w:rsidR="00A21D05" w:rsidRDefault="00A21D05" w:rsidP="00A21D05"/>
    <w:tbl>
      <w:tblPr>
        <w:tblW w:w="0" w:type="auto"/>
        <w:tblLook w:val="04A0" w:firstRow="1" w:lastRow="0" w:firstColumn="1" w:lastColumn="0" w:noHBand="0" w:noVBand="1"/>
      </w:tblPr>
      <w:tblGrid>
        <w:gridCol w:w="2259"/>
        <w:gridCol w:w="1446"/>
        <w:gridCol w:w="2684"/>
        <w:gridCol w:w="2951"/>
      </w:tblGrid>
      <w:tr w:rsidR="00A21D05" w14:paraId="387D6AEA" w14:textId="77777777" w:rsidTr="00A21D05">
        <w:trPr>
          <w:trHeight w:val="10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56DA6" w14:textId="77777777" w:rsidR="00A21D05" w:rsidRDefault="00A21D05">
            <w:pPr>
              <w:pStyle w:val="NormalWeb"/>
              <w:spacing w:before="0" w:beforeAutospacing="0" w:after="0" w:afterAutospacing="0"/>
              <w:jc w:val="center"/>
              <w:rPr>
                <w:lang w:eastAsia="en-US"/>
              </w:rPr>
            </w:pPr>
            <w:r>
              <w:rPr>
                <w:rFonts w:ascii="Arial" w:hAnsi="Arial" w:cs="Arial"/>
                <w:b/>
                <w:bCs/>
                <w:color w:val="000000"/>
                <w:lang w:eastAsia="en-US"/>
              </w:rPr>
              <w:t>Establishing a positive classroom climate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C388B" w14:textId="77777777" w:rsidR="00A21D05" w:rsidRDefault="00A21D05">
            <w:pPr>
              <w:pStyle w:val="NormalWeb"/>
              <w:spacing w:before="0" w:beforeAutospacing="0" w:after="0" w:afterAutospacing="0"/>
              <w:jc w:val="center"/>
              <w:rPr>
                <w:lang w:eastAsia="en-US"/>
              </w:rPr>
            </w:pPr>
            <w:r>
              <w:rPr>
                <w:rFonts w:ascii="Arial" w:hAnsi="Arial" w:cs="Arial"/>
                <w:b/>
                <w:bCs/>
                <w:color w:val="000000"/>
                <w:lang w:eastAsia="en-US"/>
              </w:rPr>
              <w:t>Explicit teacher models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21206" w14:textId="77777777" w:rsidR="00A21D05" w:rsidRDefault="00A21D05">
            <w:pPr>
              <w:pStyle w:val="NormalWeb"/>
              <w:spacing w:before="0" w:beforeAutospacing="0" w:after="0" w:afterAutospacing="0"/>
              <w:jc w:val="center"/>
              <w:rPr>
                <w:lang w:eastAsia="en-US"/>
              </w:rPr>
            </w:pPr>
            <w:r>
              <w:rPr>
                <w:rFonts w:ascii="Arial" w:hAnsi="Arial" w:cs="Arial"/>
                <w:b/>
                <w:bCs/>
                <w:color w:val="000000"/>
                <w:lang w:eastAsia="en-US"/>
              </w:rPr>
              <w:t>Questioning to establish and respond to what pupils know </w:t>
            </w:r>
          </w:p>
          <w:p w14:paraId="5CEA4EBD" w14:textId="77777777" w:rsidR="00A21D05" w:rsidRDefault="00A21D05">
            <w:pPr>
              <w:pStyle w:val="NormalWeb"/>
              <w:spacing w:before="0" w:beforeAutospacing="0" w:after="0" w:afterAutospacing="0"/>
              <w:jc w:val="center"/>
              <w:rPr>
                <w:lang w:eastAsia="en-US"/>
              </w:rPr>
            </w:pPr>
            <w:r>
              <w:rPr>
                <w:rFonts w:ascii="Arial" w:hAnsi="Arial" w:cs="Arial"/>
                <w:b/>
                <w:bCs/>
                <w:color w:val="000000"/>
                <w:lang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B8B58" w14:textId="77777777" w:rsidR="00A21D05" w:rsidRDefault="00A21D05">
            <w:pPr>
              <w:pStyle w:val="NormalWeb"/>
              <w:spacing w:before="0" w:beforeAutospacing="0" w:after="0" w:afterAutospacing="0"/>
              <w:jc w:val="center"/>
              <w:rPr>
                <w:lang w:eastAsia="en-US"/>
              </w:rPr>
            </w:pPr>
            <w:r>
              <w:rPr>
                <w:rFonts w:ascii="Arial" w:hAnsi="Arial" w:cs="Arial"/>
                <w:b/>
                <w:bCs/>
                <w:color w:val="000000"/>
                <w:lang w:eastAsia="en-US"/>
              </w:rPr>
              <w:t>Ensuring pupils have meaningful learning opportunities over time</w:t>
            </w:r>
          </w:p>
        </w:tc>
      </w:tr>
    </w:tbl>
    <w:p w14:paraId="3E7B5279" w14:textId="19F32540" w:rsidR="00A21D05" w:rsidRPr="00357660" w:rsidRDefault="00A21D05" w:rsidP="00A21D05">
      <w:pPr>
        <w:rPr>
          <w:i/>
          <w:iCs/>
          <w:lang w:eastAsia="en-GB"/>
        </w:rPr>
      </w:pPr>
      <w:r>
        <w:br w:type="textWrapping" w:clear="all"/>
      </w:r>
      <w:r w:rsidR="00B01B64" w:rsidRPr="00357660">
        <w:rPr>
          <w:i/>
          <w:iCs/>
          <w:lang w:eastAsia="en-GB"/>
        </w:rPr>
        <w:t>Institution 4</w:t>
      </w:r>
    </w:p>
    <w:p w14:paraId="0E5ECBB2" w14:textId="77777777" w:rsidR="00CF43B7" w:rsidRPr="002413F0" w:rsidRDefault="00CF43B7" w:rsidP="002413F0">
      <w:pPr>
        <w:rPr>
          <w:rFonts w:eastAsia="Calibri"/>
        </w:rPr>
      </w:pPr>
    </w:p>
    <w:p w14:paraId="3B6F373B" w14:textId="77777777" w:rsidR="00B01B64" w:rsidRDefault="00B01B64" w:rsidP="00B01B64">
      <w:pPr>
        <w:numPr>
          <w:ilvl w:val="0"/>
          <w:numId w:val="5"/>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Classroom presence and communication skills to support high expectations for all</w:t>
      </w:r>
    </w:p>
    <w:p w14:paraId="34A6B8A3" w14:textId="77777777" w:rsidR="00B01B64" w:rsidRDefault="00B01B64" w:rsidP="00B01B64">
      <w:pPr>
        <w:pStyle w:val="elementtoproof"/>
        <w:numPr>
          <w:ilvl w:val="0"/>
          <w:numId w:val="5"/>
        </w:numPr>
        <w:shd w:val="clear" w:color="auto" w:fill="FFFFFF"/>
        <w:rPr>
          <w:rFonts w:eastAsia="Times New Roman"/>
          <w:color w:val="000000"/>
          <w:sz w:val="24"/>
          <w:szCs w:val="24"/>
        </w:rPr>
      </w:pPr>
      <w:r>
        <w:rPr>
          <w:rFonts w:eastAsia="Times New Roman"/>
          <w:color w:val="000000"/>
          <w:sz w:val="24"/>
          <w:szCs w:val="24"/>
        </w:rPr>
        <w:t>Behaviour management and addressing challenging situations to ensure all pupils are able to learn</w:t>
      </w:r>
    </w:p>
    <w:p w14:paraId="7B0615C2" w14:textId="77777777" w:rsidR="00B01B64" w:rsidRDefault="00B01B64" w:rsidP="00B01B64">
      <w:pPr>
        <w:pStyle w:val="elementtoproof"/>
        <w:numPr>
          <w:ilvl w:val="0"/>
          <w:numId w:val="5"/>
        </w:numPr>
        <w:shd w:val="clear" w:color="auto" w:fill="FFFFFF"/>
        <w:rPr>
          <w:rFonts w:eastAsia="Times New Roman"/>
          <w:color w:val="000000"/>
          <w:sz w:val="24"/>
          <w:szCs w:val="24"/>
        </w:rPr>
      </w:pPr>
      <w:r>
        <w:rPr>
          <w:rFonts w:eastAsia="Times New Roman"/>
          <w:color w:val="000000"/>
          <w:sz w:val="24"/>
          <w:szCs w:val="24"/>
        </w:rPr>
        <w:t>Subject knowledge for teaching to ensure all pupils can make progress</w:t>
      </w:r>
    </w:p>
    <w:p w14:paraId="1EB21991" w14:textId="77777777" w:rsidR="00357660" w:rsidRDefault="00357660" w:rsidP="00357660">
      <w:pPr>
        <w:pStyle w:val="elementtoproof"/>
        <w:shd w:val="clear" w:color="auto" w:fill="FFFFFF"/>
        <w:rPr>
          <w:rFonts w:eastAsia="Times New Roman"/>
          <w:color w:val="000000"/>
          <w:sz w:val="24"/>
          <w:szCs w:val="24"/>
        </w:rPr>
      </w:pPr>
    </w:p>
    <w:p w14:paraId="337DBDCC" w14:textId="77777777" w:rsidR="00B01B64" w:rsidRDefault="00B01B64" w:rsidP="00B01B64">
      <w:pPr>
        <w:shd w:val="clear" w:color="auto" w:fill="FFFFFF"/>
        <w:rPr>
          <w:rFonts w:eastAsia="Times New Roman"/>
          <w:color w:val="000000"/>
          <w:sz w:val="24"/>
          <w:szCs w:val="24"/>
        </w:rPr>
      </w:pPr>
      <w:r>
        <w:rPr>
          <w:rFonts w:eastAsia="Times New Roman"/>
          <w:color w:val="000000"/>
          <w:sz w:val="24"/>
          <w:szCs w:val="24"/>
        </w:rPr>
        <w:lastRenderedPageBreak/>
        <w:t>This has been talked through with our associate and they are happy with it. We also rehearsed with them that there would be no practising in high stakes environments within our ITPs, this would happen in carefully structured follow-up activities within the student's placement school. Again this raised no concerns.</w:t>
      </w:r>
    </w:p>
    <w:p w14:paraId="3445C20B" w14:textId="77777777" w:rsidR="002413F0" w:rsidRDefault="002413F0" w:rsidP="00F50A42"/>
    <w:p w14:paraId="489752DD" w14:textId="3A9175EC" w:rsidR="00430852" w:rsidRPr="0088512E" w:rsidRDefault="00282976" w:rsidP="00F50A42">
      <w:pPr>
        <w:rPr>
          <w:i/>
          <w:iCs/>
        </w:rPr>
      </w:pPr>
      <w:r w:rsidRPr="0088512E">
        <w:rPr>
          <w:i/>
          <w:iCs/>
        </w:rPr>
        <w:t>Institution 5</w:t>
      </w:r>
    </w:p>
    <w:p w14:paraId="4C7E070F" w14:textId="77777777" w:rsidR="00282976" w:rsidRDefault="00282976" w:rsidP="00F50A42"/>
    <w:p w14:paraId="5B2775D3" w14:textId="77777777" w:rsidR="00282976" w:rsidRPr="00282976" w:rsidRDefault="00282976" w:rsidP="00282976">
      <w:pPr>
        <w:numPr>
          <w:ilvl w:val="0"/>
          <w:numId w:val="6"/>
        </w:numPr>
        <w:rPr>
          <w:rFonts w:eastAsia="Times New Roman"/>
        </w:rPr>
      </w:pPr>
      <w:proofErr w:type="spellStart"/>
      <w:r w:rsidRPr="00282976">
        <w:rPr>
          <w:rFonts w:eastAsia="Times New Roman"/>
        </w:rPr>
        <w:t>AfL</w:t>
      </w:r>
      <w:proofErr w:type="spellEnd"/>
    </w:p>
    <w:p w14:paraId="13DFFDB1" w14:textId="77777777" w:rsidR="00282976" w:rsidRPr="00282976" w:rsidRDefault="00282976" w:rsidP="00282976">
      <w:pPr>
        <w:numPr>
          <w:ilvl w:val="0"/>
          <w:numId w:val="6"/>
        </w:numPr>
        <w:rPr>
          <w:rFonts w:eastAsia="Times New Roman"/>
        </w:rPr>
      </w:pPr>
      <w:proofErr w:type="spellStart"/>
      <w:r w:rsidRPr="00282976">
        <w:rPr>
          <w:rFonts w:eastAsia="Times New Roman"/>
        </w:rPr>
        <w:t>BfL</w:t>
      </w:r>
      <w:proofErr w:type="spellEnd"/>
    </w:p>
    <w:p w14:paraId="13142135" w14:textId="77777777" w:rsidR="00282976" w:rsidRPr="00282976" w:rsidRDefault="00282976" w:rsidP="00282976">
      <w:pPr>
        <w:numPr>
          <w:ilvl w:val="0"/>
          <w:numId w:val="6"/>
        </w:numPr>
        <w:rPr>
          <w:rFonts w:eastAsia="Times New Roman"/>
        </w:rPr>
      </w:pPr>
      <w:r w:rsidRPr="00282976">
        <w:rPr>
          <w:rFonts w:eastAsia="Times New Roman"/>
        </w:rPr>
        <w:t>Early reading &amp; phonics</w:t>
      </w:r>
    </w:p>
    <w:p w14:paraId="064AA0AF" w14:textId="77777777" w:rsidR="00282976" w:rsidRPr="00282976" w:rsidRDefault="00282976" w:rsidP="00282976">
      <w:pPr>
        <w:numPr>
          <w:ilvl w:val="0"/>
          <w:numId w:val="6"/>
        </w:numPr>
        <w:rPr>
          <w:rFonts w:eastAsia="Times New Roman"/>
        </w:rPr>
      </w:pPr>
      <w:r w:rsidRPr="00282976">
        <w:rPr>
          <w:rFonts w:eastAsia="Times New Roman"/>
        </w:rPr>
        <w:t>Adaptive teaching</w:t>
      </w:r>
    </w:p>
    <w:p w14:paraId="01D86C01" w14:textId="77777777" w:rsidR="00282976" w:rsidRDefault="00282976" w:rsidP="00F50A42"/>
    <w:p w14:paraId="7047A64D" w14:textId="3B1CF23F" w:rsidR="00C701E1" w:rsidRDefault="00C701E1" w:rsidP="00F50A42">
      <w:r>
        <w:rPr>
          <w:i/>
          <w:iCs/>
        </w:rPr>
        <w:t>Institution 6</w:t>
      </w:r>
    </w:p>
    <w:p w14:paraId="198A3F42" w14:textId="77777777" w:rsidR="00C701E1" w:rsidRDefault="00C701E1" w:rsidP="00F50A42"/>
    <w:p w14:paraId="4DF76A30" w14:textId="6C83AC39" w:rsidR="00C701E1" w:rsidRDefault="00C701E1" w:rsidP="00C701E1">
      <w:pPr>
        <w:ind w:left="360"/>
        <w:rPr>
          <w:rFonts w:eastAsia="Times New Roman"/>
        </w:rPr>
      </w:pPr>
      <w:r w:rsidRPr="00C701E1">
        <w:rPr>
          <w:rFonts w:eastAsia="Times New Roman"/>
        </w:rPr>
        <w:t xml:space="preserve"> (for both UG Primary and PGCE Primary) </w:t>
      </w:r>
    </w:p>
    <w:p w14:paraId="64CFE892" w14:textId="77777777" w:rsidR="00C701E1" w:rsidRDefault="00C701E1" w:rsidP="00C701E1">
      <w:pPr>
        <w:ind w:left="360"/>
        <w:rPr>
          <w:rFonts w:eastAsia="Times New Roman"/>
        </w:rPr>
      </w:pPr>
    </w:p>
    <w:p w14:paraId="5EE14165" w14:textId="6C0AA670" w:rsidR="00C701E1" w:rsidRPr="00C701E1" w:rsidRDefault="00C701E1" w:rsidP="00C701E1">
      <w:pPr>
        <w:pStyle w:val="ListParagraph"/>
        <w:numPr>
          <w:ilvl w:val="0"/>
          <w:numId w:val="8"/>
        </w:numPr>
        <w:ind w:left="360"/>
        <w:rPr>
          <w:rFonts w:eastAsia="Times New Roman"/>
        </w:rPr>
      </w:pPr>
      <w:r w:rsidRPr="00C701E1">
        <w:rPr>
          <w:rFonts w:eastAsia="Times New Roman"/>
        </w:rPr>
        <w:t>Managing Behaviour</w:t>
      </w:r>
    </w:p>
    <w:p w14:paraId="6AC87752" w14:textId="26A69168" w:rsidR="00C701E1" w:rsidRPr="00C701E1" w:rsidRDefault="00C701E1" w:rsidP="00C701E1">
      <w:pPr>
        <w:pStyle w:val="ListParagraph"/>
        <w:numPr>
          <w:ilvl w:val="0"/>
          <w:numId w:val="8"/>
        </w:numPr>
        <w:ind w:left="360"/>
        <w:rPr>
          <w:rFonts w:eastAsia="Times New Roman"/>
        </w:rPr>
      </w:pPr>
      <w:r w:rsidRPr="00C701E1">
        <w:rPr>
          <w:rFonts w:eastAsia="Times New Roman"/>
        </w:rPr>
        <w:t>SSP</w:t>
      </w:r>
    </w:p>
    <w:p w14:paraId="518AAEC7" w14:textId="6FA006B4" w:rsidR="00C701E1" w:rsidRPr="00C701E1" w:rsidRDefault="00C701E1" w:rsidP="00C701E1">
      <w:pPr>
        <w:pStyle w:val="ListParagraph"/>
        <w:numPr>
          <w:ilvl w:val="0"/>
          <w:numId w:val="8"/>
        </w:numPr>
        <w:ind w:left="360"/>
        <w:rPr>
          <w:rFonts w:eastAsia="Times New Roman"/>
        </w:rPr>
      </w:pPr>
      <w:r>
        <w:rPr>
          <w:rFonts w:eastAsia="Times New Roman"/>
        </w:rPr>
        <w:t>A</w:t>
      </w:r>
      <w:r w:rsidRPr="00C701E1">
        <w:rPr>
          <w:rFonts w:eastAsia="Times New Roman"/>
        </w:rPr>
        <w:t>daptive Teaching – misconceptions;</w:t>
      </w:r>
    </w:p>
    <w:p w14:paraId="789C7A78" w14:textId="27967170" w:rsidR="00C701E1" w:rsidRPr="00C701E1" w:rsidRDefault="00C701E1" w:rsidP="00C701E1">
      <w:pPr>
        <w:pStyle w:val="ListParagraph"/>
        <w:numPr>
          <w:ilvl w:val="0"/>
          <w:numId w:val="8"/>
        </w:numPr>
        <w:ind w:left="360"/>
        <w:rPr>
          <w:rFonts w:eastAsia="Times New Roman"/>
        </w:rPr>
      </w:pPr>
      <w:r w:rsidRPr="00C701E1">
        <w:rPr>
          <w:rFonts w:eastAsia="Times New Roman"/>
        </w:rPr>
        <w:t xml:space="preserve">Adaptive teaching – SEN/D; Assessment </w:t>
      </w:r>
    </w:p>
    <w:p w14:paraId="6FF8D5B3" w14:textId="77777777" w:rsidR="00C701E1" w:rsidRDefault="00C701E1" w:rsidP="00C701E1"/>
    <w:p w14:paraId="1BE68154" w14:textId="03AC7EE5" w:rsidR="007200F1" w:rsidRPr="007200F1" w:rsidRDefault="00370941" w:rsidP="00C701E1">
      <w:pPr>
        <w:rPr>
          <w:i/>
          <w:iCs/>
        </w:rPr>
      </w:pPr>
      <w:r>
        <w:rPr>
          <w:i/>
          <w:iCs/>
        </w:rPr>
        <w:t>Institution</w:t>
      </w:r>
      <w:r w:rsidR="007200F1">
        <w:rPr>
          <w:i/>
          <w:iCs/>
        </w:rPr>
        <w:t xml:space="preserve"> </w:t>
      </w:r>
      <w:r>
        <w:rPr>
          <w:i/>
          <w:iCs/>
        </w:rPr>
        <w:t>7</w:t>
      </w:r>
    </w:p>
    <w:p w14:paraId="0C9DFFD7" w14:textId="77777777" w:rsidR="007200F1" w:rsidRDefault="007200F1" w:rsidP="00C701E1"/>
    <w:p w14:paraId="0667657F" w14:textId="77777777" w:rsidR="007200F1" w:rsidRPr="007200F1" w:rsidRDefault="007200F1" w:rsidP="007200F1">
      <w:pPr>
        <w:rPr>
          <w:rFonts w:eastAsia="Calibri"/>
          <w:lang w:eastAsia="en-GB"/>
        </w:rPr>
      </w:pPr>
      <w:r w:rsidRPr="007200F1">
        <w:rPr>
          <w:rFonts w:eastAsia="Calibri"/>
          <w:lang w:eastAsia="en-GB"/>
        </w:rPr>
        <w:t>For secondary:</w:t>
      </w:r>
    </w:p>
    <w:p w14:paraId="47AD6CE9" w14:textId="77777777" w:rsidR="007200F1" w:rsidRPr="007200F1" w:rsidRDefault="007200F1" w:rsidP="007200F1">
      <w:pPr>
        <w:rPr>
          <w:rFonts w:eastAsia="Calibri"/>
          <w:lang w:eastAsia="en-GB"/>
        </w:rPr>
      </w:pPr>
      <w:r w:rsidRPr="007200F1">
        <w:rPr>
          <w:rFonts w:eastAsia="Calibri"/>
          <w:lang w:eastAsia="en-GB"/>
        </w:rPr>
        <w:t>1 – explanations and modelling</w:t>
      </w:r>
    </w:p>
    <w:p w14:paraId="63381430" w14:textId="77777777" w:rsidR="007200F1" w:rsidRPr="007200F1" w:rsidRDefault="007200F1" w:rsidP="007200F1">
      <w:pPr>
        <w:rPr>
          <w:rFonts w:eastAsia="Calibri"/>
          <w:lang w:eastAsia="en-GB"/>
        </w:rPr>
      </w:pPr>
      <w:r w:rsidRPr="007200F1">
        <w:rPr>
          <w:rFonts w:eastAsia="Calibri"/>
          <w:lang w:eastAsia="en-GB"/>
        </w:rPr>
        <w:t>2 – Questioning</w:t>
      </w:r>
    </w:p>
    <w:p w14:paraId="796B64B4" w14:textId="77777777" w:rsidR="007200F1" w:rsidRPr="007200F1" w:rsidRDefault="007200F1" w:rsidP="007200F1">
      <w:pPr>
        <w:rPr>
          <w:rFonts w:eastAsia="Calibri"/>
          <w:lang w:eastAsia="en-GB"/>
        </w:rPr>
      </w:pPr>
      <w:r w:rsidRPr="007200F1">
        <w:rPr>
          <w:rFonts w:eastAsia="Calibri"/>
          <w:lang w:eastAsia="en-GB"/>
        </w:rPr>
        <w:t>3 – Talk for learning</w:t>
      </w:r>
    </w:p>
    <w:p w14:paraId="2803437B" w14:textId="77777777" w:rsidR="007200F1" w:rsidRPr="007200F1" w:rsidRDefault="007200F1" w:rsidP="007200F1">
      <w:pPr>
        <w:rPr>
          <w:rFonts w:eastAsia="Calibri"/>
          <w:lang w:eastAsia="en-GB"/>
        </w:rPr>
      </w:pPr>
      <w:r w:rsidRPr="007200F1">
        <w:rPr>
          <w:rFonts w:eastAsia="Calibri"/>
          <w:lang w:eastAsia="en-GB"/>
        </w:rPr>
        <w:t>4 – Interacting with feedback.</w:t>
      </w:r>
    </w:p>
    <w:p w14:paraId="2040835A" w14:textId="77777777" w:rsidR="007200F1" w:rsidRPr="007200F1" w:rsidRDefault="007200F1" w:rsidP="007200F1">
      <w:pPr>
        <w:rPr>
          <w:rFonts w:eastAsia="Calibri"/>
          <w:lang w:eastAsia="en-GB"/>
        </w:rPr>
      </w:pPr>
    </w:p>
    <w:p w14:paraId="65FBD9FA" w14:textId="77777777" w:rsidR="007200F1" w:rsidRPr="007200F1" w:rsidRDefault="007200F1" w:rsidP="007200F1">
      <w:pPr>
        <w:rPr>
          <w:rFonts w:eastAsia="Calibri"/>
          <w:lang w:eastAsia="en-GB"/>
        </w:rPr>
      </w:pPr>
      <w:r w:rsidRPr="007200F1">
        <w:rPr>
          <w:rFonts w:eastAsia="Calibri"/>
          <w:lang w:eastAsia="en-GB"/>
        </w:rPr>
        <w:t>For primary:</w:t>
      </w:r>
    </w:p>
    <w:p w14:paraId="09E63433" w14:textId="77777777" w:rsidR="007200F1" w:rsidRPr="007200F1" w:rsidRDefault="007200F1" w:rsidP="007200F1">
      <w:pPr>
        <w:rPr>
          <w:rFonts w:eastAsia="Calibri"/>
          <w:lang w:eastAsia="en-GB"/>
        </w:rPr>
      </w:pPr>
      <w:r w:rsidRPr="007200F1">
        <w:rPr>
          <w:rFonts w:eastAsia="Calibri"/>
          <w:lang w:eastAsia="en-GB"/>
        </w:rPr>
        <w:t xml:space="preserve">1 – Behaviour (routines) </w:t>
      </w:r>
    </w:p>
    <w:p w14:paraId="5F6D3CFA" w14:textId="77777777" w:rsidR="007200F1" w:rsidRPr="007200F1" w:rsidRDefault="007200F1" w:rsidP="007200F1">
      <w:pPr>
        <w:rPr>
          <w:rFonts w:eastAsia="Calibri"/>
          <w:lang w:eastAsia="en-GB"/>
        </w:rPr>
      </w:pPr>
      <w:r w:rsidRPr="007200F1">
        <w:rPr>
          <w:rFonts w:eastAsia="Calibri"/>
          <w:lang w:eastAsia="en-GB"/>
        </w:rPr>
        <w:t xml:space="preserve">2 – Phonics </w:t>
      </w:r>
    </w:p>
    <w:p w14:paraId="7CC9225A" w14:textId="77777777" w:rsidR="007200F1" w:rsidRPr="007200F1" w:rsidRDefault="007200F1" w:rsidP="007200F1">
      <w:pPr>
        <w:rPr>
          <w:rFonts w:eastAsia="Calibri"/>
          <w:lang w:eastAsia="en-GB"/>
        </w:rPr>
      </w:pPr>
      <w:r w:rsidRPr="007200F1">
        <w:rPr>
          <w:rFonts w:eastAsia="Calibri"/>
          <w:lang w:eastAsia="en-GB"/>
        </w:rPr>
        <w:t>3 – Retrieval</w:t>
      </w:r>
    </w:p>
    <w:p w14:paraId="4B37C73D" w14:textId="77777777" w:rsidR="007200F1" w:rsidRPr="007200F1" w:rsidRDefault="007200F1" w:rsidP="007200F1">
      <w:pPr>
        <w:rPr>
          <w:rFonts w:eastAsia="Calibri"/>
          <w:lang w:eastAsia="en-GB"/>
        </w:rPr>
      </w:pPr>
      <w:r w:rsidRPr="007200F1">
        <w:rPr>
          <w:rFonts w:eastAsia="Calibri"/>
          <w:lang w:eastAsia="en-GB"/>
        </w:rPr>
        <w:t>4 – Modelling</w:t>
      </w:r>
    </w:p>
    <w:p w14:paraId="35E34268" w14:textId="77777777" w:rsidR="007200F1" w:rsidRDefault="007200F1" w:rsidP="007200F1">
      <w:pPr>
        <w:rPr>
          <w:rFonts w:eastAsia="Calibri"/>
          <w:lang w:eastAsia="en-GB"/>
        </w:rPr>
      </w:pPr>
    </w:p>
    <w:p w14:paraId="09B04938" w14:textId="7CBAC74A" w:rsidR="001508DC" w:rsidRDefault="001508DC" w:rsidP="007200F1">
      <w:pPr>
        <w:rPr>
          <w:rFonts w:eastAsia="Calibri"/>
          <w:i/>
          <w:iCs/>
          <w:lang w:eastAsia="en-GB"/>
        </w:rPr>
      </w:pPr>
      <w:r>
        <w:rPr>
          <w:rFonts w:eastAsia="Calibri"/>
          <w:i/>
          <w:iCs/>
          <w:lang w:eastAsia="en-GB"/>
        </w:rPr>
        <w:t>Institution 8</w:t>
      </w:r>
    </w:p>
    <w:p w14:paraId="4FE8F90D" w14:textId="77777777" w:rsidR="001508DC" w:rsidRDefault="001508DC" w:rsidP="007200F1">
      <w:pPr>
        <w:rPr>
          <w:rFonts w:eastAsia="Calibri"/>
          <w:i/>
          <w:iCs/>
          <w:lang w:eastAsia="en-GB"/>
        </w:rPr>
      </w:pPr>
    </w:p>
    <w:p w14:paraId="600CF339" w14:textId="77777777" w:rsidR="001508DC" w:rsidRDefault="001508DC" w:rsidP="001508DC">
      <w:r>
        <w:t>For primary (UG):</w:t>
      </w:r>
    </w:p>
    <w:p w14:paraId="6BDBC47F" w14:textId="77777777" w:rsidR="001508DC" w:rsidRDefault="001508DC" w:rsidP="001508DC">
      <w:pPr>
        <w:rPr>
          <w:color w:val="212121"/>
        </w:rPr>
      </w:pPr>
      <w:r>
        <w:rPr>
          <w:color w:val="212121"/>
        </w:rPr>
        <w:t>Y1 – 1) Professional Behaviours, 2) Behaviour Management, 3) Curriculum (Subject knowledge)</w:t>
      </w:r>
    </w:p>
    <w:p w14:paraId="690E2077" w14:textId="77777777" w:rsidR="001508DC" w:rsidRDefault="001508DC" w:rsidP="001508DC">
      <w:pPr>
        <w:rPr>
          <w:color w:val="212121"/>
        </w:rPr>
      </w:pPr>
      <w:r>
        <w:rPr>
          <w:color w:val="212121"/>
        </w:rPr>
        <w:t>Y2 – 4) Inclusion</w:t>
      </w:r>
    </w:p>
    <w:p w14:paraId="5E005776" w14:textId="77777777" w:rsidR="001508DC" w:rsidRDefault="001508DC" w:rsidP="001508DC">
      <w:pPr>
        <w:rPr>
          <w:color w:val="212121"/>
        </w:rPr>
      </w:pPr>
      <w:r>
        <w:rPr>
          <w:color w:val="212121"/>
        </w:rPr>
        <w:t xml:space="preserve">Y3 – customised </w:t>
      </w:r>
      <w:proofErr w:type="spellStart"/>
      <w:r>
        <w:rPr>
          <w:color w:val="212121"/>
        </w:rPr>
        <w:t>ITaP</w:t>
      </w:r>
      <w:proofErr w:type="spellEnd"/>
      <w:r>
        <w:rPr>
          <w:color w:val="212121"/>
        </w:rPr>
        <w:t xml:space="preserve"> experience based on trainees progress and identified training needs </w:t>
      </w:r>
    </w:p>
    <w:p w14:paraId="4E2828BA" w14:textId="77777777" w:rsidR="001508DC" w:rsidRDefault="001508DC" w:rsidP="001508DC"/>
    <w:p w14:paraId="75AF3FC2" w14:textId="77777777" w:rsidR="001508DC" w:rsidRDefault="001508DC" w:rsidP="001508DC">
      <w:r>
        <w:t>For secondary:</w:t>
      </w:r>
    </w:p>
    <w:p w14:paraId="5F2DEDA9" w14:textId="77777777" w:rsidR="001508DC" w:rsidRDefault="001508DC" w:rsidP="001508DC">
      <w:pPr>
        <w:pStyle w:val="ListParagraph"/>
        <w:numPr>
          <w:ilvl w:val="0"/>
          <w:numId w:val="9"/>
        </w:numPr>
        <w:rPr>
          <w:rFonts w:eastAsia="Times New Roman"/>
        </w:rPr>
      </w:pPr>
      <w:r>
        <w:rPr>
          <w:rFonts w:eastAsia="Times New Roman"/>
        </w:rPr>
        <w:t>Behaviour management</w:t>
      </w:r>
    </w:p>
    <w:p w14:paraId="000353BA" w14:textId="77777777" w:rsidR="001508DC" w:rsidRDefault="001508DC" w:rsidP="001508DC">
      <w:pPr>
        <w:pStyle w:val="ListParagraph"/>
        <w:numPr>
          <w:ilvl w:val="0"/>
          <w:numId w:val="9"/>
        </w:numPr>
        <w:rPr>
          <w:rFonts w:eastAsia="Times New Roman"/>
        </w:rPr>
      </w:pPr>
      <w:r>
        <w:rPr>
          <w:rFonts w:eastAsia="Times New Roman"/>
        </w:rPr>
        <w:t>Subject pedagogical knowledge</w:t>
      </w:r>
    </w:p>
    <w:p w14:paraId="1AAFA631" w14:textId="77777777" w:rsidR="001508DC" w:rsidRDefault="001508DC" w:rsidP="001508DC">
      <w:pPr>
        <w:pStyle w:val="ListParagraph"/>
        <w:numPr>
          <w:ilvl w:val="0"/>
          <w:numId w:val="9"/>
        </w:numPr>
        <w:rPr>
          <w:rFonts w:eastAsia="Times New Roman"/>
        </w:rPr>
      </w:pPr>
      <w:r>
        <w:rPr>
          <w:rFonts w:eastAsia="Times New Roman"/>
        </w:rPr>
        <w:t>Literacy/Oracy/</w:t>
      </w:r>
      <w:proofErr w:type="spellStart"/>
      <w:r>
        <w:rPr>
          <w:rFonts w:eastAsia="Times New Roman"/>
        </w:rPr>
        <w:t>Eal</w:t>
      </w:r>
      <w:proofErr w:type="spellEnd"/>
    </w:p>
    <w:p w14:paraId="5F87724D" w14:textId="77777777" w:rsidR="001508DC" w:rsidRDefault="001508DC" w:rsidP="001508DC">
      <w:pPr>
        <w:pStyle w:val="ListParagraph"/>
        <w:numPr>
          <w:ilvl w:val="0"/>
          <w:numId w:val="9"/>
        </w:numPr>
        <w:rPr>
          <w:rFonts w:eastAsia="Times New Roman"/>
        </w:rPr>
      </w:pPr>
      <w:r>
        <w:rPr>
          <w:rFonts w:eastAsia="Times New Roman"/>
        </w:rPr>
        <w:t>Assessment - questioning. </w:t>
      </w:r>
    </w:p>
    <w:p w14:paraId="54630ECC" w14:textId="0ED11761" w:rsidR="00E91E0C" w:rsidRPr="00E91E0C" w:rsidRDefault="00E91E0C" w:rsidP="00E91E0C">
      <w:pPr>
        <w:ind w:left="360"/>
        <w:rPr>
          <w:i/>
          <w:iCs/>
        </w:rPr>
      </w:pPr>
      <w:r>
        <w:rPr>
          <w:i/>
          <w:iCs/>
        </w:rPr>
        <w:lastRenderedPageBreak/>
        <w:t>Institution 9</w:t>
      </w:r>
    </w:p>
    <w:p w14:paraId="4109380B" w14:textId="77777777" w:rsidR="00E91E0C" w:rsidRDefault="00E91E0C" w:rsidP="00E91E0C">
      <w:pPr>
        <w:pStyle w:val="ListParagraph"/>
      </w:pPr>
    </w:p>
    <w:p w14:paraId="492135FF" w14:textId="773B8278" w:rsidR="00E91E0C" w:rsidRDefault="00E91E0C" w:rsidP="00E91E0C">
      <w:pPr>
        <w:pStyle w:val="ListParagraph"/>
        <w:numPr>
          <w:ilvl w:val="0"/>
          <w:numId w:val="9"/>
        </w:numPr>
      </w:pPr>
      <w:r>
        <w:t>Adaptive teaching (focussing on SEND and EAL learners) in the mid stage of the course.</w:t>
      </w:r>
    </w:p>
    <w:p w14:paraId="1A215FF1" w14:textId="77777777" w:rsidR="00E91E0C" w:rsidRDefault="00E91E0C" w:rsidP="00E91E0C">
      <w:pPr>
        <w:pStyle w:val="ListParagraph"/>
        <w:numPr>
          <w:ilvl w:val="0"/>
          <w:numId w:val="9"/>
        </w:numPr>
      </w:pPr>
      <w:r>
        <w:t xml:space="preserve">Literacy (Foundation phase for primary focussing on early reading, broader literacy focus with initial input (to include SSP) in the foundation phase for secondary, revisited prior to the final assessment with a school improvement focus) </w:t>
      </w:r>
    </w:p>
    <w:p w14:paraId="264EA5B4" w14:textId="77777777" w:rsidR="001508DC" w:rsidRPr="001508DC" w:rsidRDefault="001508DC" w:rsidP="007200F1">
      <w:pPr>
        <w:rPr>
          <w:rFonts w:eastAsia="Calibri"/>
          <w:lang w:eastAsia="en-GB"/>
        </w:rPr>
      </w:pPr>
    </w:p>
    <w:p w14:paraId="0850617B" w14:textId="77777777" w:rsidR="007200F1" w:rsidRPr="00C701E1" w:rsidRDefault="007200F1" w:rsidP="00C701E1"/>
    <w:sectPr w:rsidR="007200F1" w:rsidRPr="00C70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E035A"/>
    <w:multiLevelType w:val="hybridMultilevel"/>
    <w:tmpl w:val="769837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8D74EF8"/>
    <w:multiLevelType w:val="hybridMultilevel"/>
    <w:tmpl w:val="806E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5D68D2"/>
    <w:multiLevelType w:val="hybridMultilevel"/>
    <w:tmpl w:val="743C9C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2F7122B"/>
    <w:multiLevelType w:val="multilevel"/>
    <w:tmpl w:val="60227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1627F4"/>
    <w:multiLevelType w:val="hybridMultilevel"/>
    <w:tmpl w:val="C846D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FAC245D"/>
    <w:multiLevelType w:val="hybridMultilevel"/>
    <w:tmpl w:val="8A3EE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EDC2A99"/>
    <w:multiLevelType w:val="hybridMultilevel"/>
    <w:tmpl w:val="B6FC6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8C3252"/>
    <w:multiLevelType w:val="hybridMultilevel"/>
    <w:tmpl w:val="6C069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577688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2119405">
    <w:abstractNumId w:val="0"/>
  </w:num>
  <w:num w:numId="3" w16cid:durableId="1902132774">
    <w:abstractNumId w:val="6"/>
  </w:num>
  <w:num w:numId="4" w16cid:durableId="840896991">
    <w:abstractNumId w:val="7"/>
  </w:num>
  <w:num w:numId="5" w16cid:durableId="1957524664">
    <w:abstractNumId w:val="3"/>
  </w:num>
  <w:num w:numId="6" w16cid:durableId="486702299">
    <w:abstractNumId w:val="4"/>
  </w:num>
  <w:num w:numId="7" w16cid:durableId="279605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7563654">
    <w:abstractNumId w:val="1"/>
  </w:num>
  <w:num w:numId="9" w16cid:durableId="17839159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67C548"/>
    <w:rsid w:val="00050A49"/>
    <w:rsid w:val="001412A9"/>
    <w:rsid w:val="001508DC"/>
    <w:rsid w:val="001912D8"/>
    <w:rsid w:val="002413F0"/>
    <w:rsid w:val="00282976"/>
    <w:rsid w:val="002A01DD"/>
    <w:rsid w:val="003432CD"/>
    <w:rsid w:val="00357660"/>
    <w:rsid w:val="00370941"/>
    <w:rsid w:val="003A69D9"/>
    <w:rsid w:val="003C2E96"/>
    <w:rsid w:val="003D0621"/>
    <w:rsid w:val="00430852"/>
    <w:rsid w:val="00444B54"/>
    <w:rsid w:val="004738F3"/>
    <w:rsid w:val="004C3D67"/>
    <w:rsid w:val="005620FF"/>
    <w:rsid w:val="005C55CB"/>
    <w:rsid w:val="00616D6F"/>
    <w:rsid w:val="006346E5"/>
    <w:rsid w:val="007200F1"/>
    <w:rsid w:val="007C05AE"/>
    <w:rsid w:val="007C0F34"/>
    <w:rsid w:val="008803D7"/>
    <w:rsid w:val="0088512E"/>
    <w:rsid w:val="009E7DC5"/>
    <w:rsid w:val="009F6125"/>
    <w:rsid w:val="00A21D05"/>
    <w:rsid w:val="00A40EDA"/>
    <w:rsid w:val="00AA7808"/>
    <w:rsid w:val="00B01B64"/>
    <w:rsid w:val="00BA63C8"/>
    <w:rsid w:val="00C701E1"/>
    <w:rsid w:val="00CF43B7"/>
    <w:rsid w:val="00DB6055"/>
    <w:rsid w:val="00E83B1A"/>
    <w:rsid w:val="00E91E0C"/>
    <w:rsid w:val="00EE31CE"/>
    <w:rsid w:val="00F47123"/>
    <w:rsid w:val="00F50A42"/>
    <w:rsid w:val="00F9206C"/>
    <w:rsid w:val="00FA0FFC"/>
    <w:rsid w:val="2767C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C548"/>
  <w15:chartTrackingRefBased/>
  <w15:docId w15:val="{28824477-D8C9-491C-A5B1-4189B303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6E5"/>
    <w:pPr>
      <w:spacing w:after="0" w:line="240"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123"/>
    <w:rPr>
      <w:color w:val="0000FF"/>
      <w:u w:val="single"/>
    </w:rPr>
  </w:style>
  <w:style w:type="character" w:styleId="UnresolvedMention">
    <w:name w:val="Unresolved Mention"/>
    <w:basedOn w:val="DefaultParagraphFont"/>
    <w:uiPriority w:val="99"/>
    <w:semiHidden/>
    <w:unhideWhenUsed/>
    <w:rsid w:val="005620FF"/>
    <w:rPr>
      <w:color w:val="605E5C"/>
      <w:shd w:val="clear" w:color="auto" w:fill="E1DFDD"/>
    </w:rPr>
  </w:style>
  <w:style w:type="paragraph" w:styleId="ListParagraph">
    <w:name w:val="List Paragraph"/>
    <w:basedOn w:val="Normal"/>
    <w:uiPriority w:val="34"/>
    <w:qFormat/>
    <w:rsid w:val="00E83B1A"/>
    <w:pPr>
      <w:ind w:left="720"/>
    </w:pPr>
    <w:rPr>
      <w:lang w:eastAsia="en-GB"/>
    </w:rPr>
  </w:style>
  <w:style w:type="paragraph" w:styleId="NormalWeb">
    <w:name w:val="Normal (Web)"/>
    <w:basedOn w:val="Normal"/>
    <w:uiPriority w:val="99"/>
    <w:semiHidden/>
    <w:unhideWhenUsed/>
    <w:rsid w:val="00A21D05"/>
    <w:pPr>
      <w:spacing w:before="100" w:beforeAutospacing="1" w:after="100" w:afterAutospacing="1"/>
    </w:pPr>
    <w:rPr>
      <w:lang w:eastAsia="en-GB"/>
    </w:rPr>
  </w:style>
  <w:style w:type="paragraph" w:customStyle="1" w:styleId="elementtoproof">
    <w:name w:val="elementtoproof"/>
    <w:basedOn w:val="Normal"/>
    <w:rsid w:val="00B01B6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3094">
      <w:bodyDiv w:val="1"/>
      <w:marLeft w:val="0"/>
      <w:marRight w:val="0"/>
      <w:marTop w:val="0"/>
      <w:marBottom w:val="0"/>
      <w:divBdr>
        <w:top w:val="none" w:sz="0" w:space="0" w:color="auto"/>
        <w:left w:val="none" w:sz="0" w:space="0" w:color="auto"/>
        <w:bottom w:val="none" w:sz="0" w:space="0" w:color="auto"/>
        <w:right w:val="none" w:sz="0" w:space="0" w:color="auto"/>
      </w:divBdr>
    </w:div>
    <w:div w:id="132257133">
      <w:bodyDiv w:val="1"/>
      <w:marLeft w:val="0"/>
      <w:marRight w:val="0"/>
      <w:marTop w:val="0"/>
      <w:marBottom w:val="0"/>
      <w:divBdr>
        <w:top w:val="none" w:sz="0" w:space="0" w:color="auto"/>
        <w:left w:val="none" w:sz="0" w:space="0" w:color="auto"/>
        <w:bottom w:val="none" w:sz="0" w:space="0" w:color="auto"/>
        <w:right w:val="none" w:sz="0" w:space="0" w:color="auto"/>
      </w:divBdr>
    </w:div>
    <w:div w:id="159807719">
      <w:bodyDiv w:val="1"/>
      <w:marLeft w:val="0"/>
      <w:marRight w:val="0"/>
      <w:marTop w:val="0"/>
      <w:marBottom w:val="0"/>
      <w:divBdr>
        <w:top w:val="none" w:sz="0" w:space="0" w:color="auto"/>
        <w:left w:val="none" w:sz="0" w:space="0" w:color="auto"/>
        <w:bottom w:val="none" w:sz="0" w:space="0" w:color="auto"/>
        <w:right w:val="none" w:sz="0" w:space="0" w:color="auto"/>
      </w:divBdr>
    </w:div>
    <w:div w:id="284820158">
      <w:bodyDiv w:val="1"/>
      <w:marLeft w:val="0"/>
      <w:marRight w:val="0"/>
      <w:marTop w:val="0"/>
      <w:marBottom w:val="0"/>
      <w:divBdr>
        <w:top w:val="none" w:sz="0" w:space="0" w:color="auto"/>
        <w:left w:val="none" w:sz="0" w:space="0" w:color="auto"/>
        <w:bottom w:val="none" w:sz="0" w:space="0" w:color="auto"/>
        <w:right w:val="none" w:sz="0" w:space="0" w:color="auto"/>
      </w:divBdr>
    </w:div>
    <w:div w:id="432822088">
      <w:bodyDiv w:val="1"/>
      <w:marLeft w:val="0"/>
      <w:marRight w:val="0"/>
      <w:marTop w:val="0"/>
      <w:marBottom w:val="0"/>
      <w:divBdr>
        <w:top w:val="none" w:sz="0" w:space="0" w:color="auto"/>
        <w:left w:val="none" w:sz="0" w:space="0" w:color="auto"/>
        <w:bottom w:val="none" w:sz="0" w:space="0" w:color="auto"/>
        <w:right w:val="none" w:sz="0" w:space="0" w:color="auto"/>
      </w:divBdr>
    </w:div>
    <w:div w:id="582682389">
      <w:bodyDiv w:val="1"/>
      <w:marLeft w:val="0"/>
      <w:marRight w:val="0"/>
      <w:marTop w:val="0"/>
      <w:marBottom w:val="0"/>
      <w:divBdr>
        <w:top w:val="none" w:sz="0" w:space="0" w:color="auto"/>
        <w:left w:val="none" w:sz="0" w:space="0" w:color="auto"/>
        <w:bottom w:val="none" w:sz="0" w:space="0" w:color="auto"/>
        <w:right w:val="none" w:sz="0" w:space="0" w:color="auto"/>
      </w:divBdr>
    </w:div>
    <w:div w:id="738751154">
      <w:bodyDiv w:val="1"/>
      <w:marLeft w:val="0"/>
      <w:marRight w:val="0"/>
      <w:marTop w:val="0"/>
      <w:marBottom w:val="0"/>
      <w:divBdr>
        <w:top w:val="none" w:sz="0" w:space="0" w:color="auto"/>
        <w:left w:val="none" w:sz="0" w:space="0" w:color="auto"/>
        <w:bottom w:val="none" w:sz="0" w:space="0" w:color="auto"/>
        <w:right w:val="none" w:sz="0" w:space="0" w:color="auto"/>
      </w:divBdr>
    </w:div>
    <w:div w:id="985620035">
      <w:bodyDiv w:val="1"/>
      <w:marLeft w:val="0"/>
      <w:marRight w:val="0"/>
      <w:marTop w:val="0"/>
      <w:marBottom w:val="0"/>
      <w:divBdr>
        <w:top w:val="none" w:sz="0" w:space="0" w:color="auto"/>
        <w:left w:val="none" w:sz="0" w:space="0" w:color="auto"/>
        <w:bottom w:val="none" w:sz="0" w:space="0" w:color="auto"/>
        <w:right w:val="none" w:sz="0" w:space="0" w:color="auto"/>
      </w:divBdr>
    </w:div>
    <w:div w:id="1256130532">
      <w:bodyDiv w:val="1"/>
      <w:marLeft w:val="0"/>
      <w:marRight w:val="0"/>
      <w:marTop w:val="0"/>
      <w:marBottom w:val="0"/>
      <w:divBdr>
        <w:top w:val="none" w:sz="0" w:space="0" w:color="auto"/>
        <w:left w:val="none" w:sz="0" w:space="0" w:color="auto"/>
        <w:bottom w:val="none" w:sz="0" w:space="0" w:color="auto"/>
        <w:right w:val="none" w:sz="0" w:space="0" w:color="auto"/>
      </w:divBdr>
    </w:div>
    <w:div w:id="1303079444">
      <w:bodyDiv w:val="1"/>
      <w:marLeft w:val="0"/>
      <w:marRight w:val="0"/>
      <w:marTop w:val="0"/>
      <w:marBottom w:val="0"/>
      <w:divBdr>
        <w:top w:val="none" w:sz="0" w:space="0" w:color="auto"/>
        <w:left w:val="none" w:sz="0" w:space="0" w:color="auto"/>
        <w:bottom w:val="none" w:sz="0" w:space="0" w:color="auto"/>
        <w:right w:val="none" w:sz="0" w:space="0" w:color="auto"/>
      </w:divBdr>
    </w:div>
    <w:div w:id="1464153732">
      <w:bodyDiv w:val="1"/>
      <w:marLeft w:val="0"/>
      <w:marRight w:val="0"/>
      <w:marTop w:val="0"/>
      <w:marBottom w:val="0"/>
      <w:divBdr>
        <w:top w:val="none" w:sz="0" w:space="0" w:color="auto"/>
        <w:left w:val="none" w:sz="0" w:space="0" w:color="auto"/>
        <w:bottom w:val="none" w:sz="0" w:space="0" w:color="auto"/>
        <w:right w:val="none" w:sz="0" w:space="0" w:color="auto"/>
      </w:divBdr>
    </w:div>
    <w:div w:id="1838108983">
      <w:bodyDiv w:val="1"/>
      <w:marLeft w:val="0"/>
      <w:marRight w:val="0"/>
      <w:marTop w:val="0"/>
      <w:marBottom w:val="0"/>
      <w:divBdr>
        <w:top w:val="none" w:sz="0" w:space="0" w:color="auto"/>
        <w:left w:val="none" w:sz="0" w:space="0" w:color="auto"/>
        <w:bottom w:val="none" w:sz="0" w:space="0" w:color="auto"/>
        <w:right w:val="none" w:sz="0" w:space="0" w:color="auto"/>
      </w:divBdr>
    </w:div>
    <w:div w:id="1884321026">
      <w:bodyDiv w:val="1"/>
      <w:marLeft w:val="0"/>
      <w:marRight w:val="0"/>
      <w:marTop w:val="0"/>
      <w:marBottom w:val="0"/>
      <w:divBdr>
        <w:top w:val="none" w:sz="0" w:space="0" w:color="auto"/>
        <w:left w:val="none" w:sz="0" w:space="0" w:color="auto"/>
        <w:bottom w:val="none" w:sz="0" w:space="0" w:color="auto"/>
        <w:right w:val="none" w:sz="0" w:space="0" w:color="auto"/>
      </w:divBdr>
    </w:div>
    <w:div w:id="20506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E3F997-5A83-48BC-891B-142238ADC08C}">
  <ds:schemaRefs>
    <ds:schemaRef ds:uri="http://schemas.microsoft.com/office/2006/metadata/properties"/>
    <ds:schemaRef ds:uri="http://schemas.microsoft.com/office/infopath/2007/PartnerControls"/>
    <ds:schemaRef ds:uri="3995883a-d786-4b4f-a5c8-93a53e2574e9"/>
    <ds:schemaRef ds:uri="3c323e8f-b349-459e-99de-466e326f23a6"/>
  </ds:schemaRefs>
</ds:datastoreItem>
</file>

<file path=customXml/itemProps2.xml><?xml version="1.0" encoding="utf-8"?>
<ds:datastoreItem xmlns:ds="http://schemas.openxmlformats.org/officeDocument/2006/customXml" ds:itemID="{DBCEC5C7-5E33-40C7-A12D-BADA48961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3c323e8f-b349-459e-99de-466e326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5AE80-3952-4325-825B-5D3D7A0617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James Noble-Rogers</cp:lastModifiedBy>
  <cp:revision>19</cp:revision>
  <dcterms:created xsi:type="dcterms:W3CDTF">2023-03-07T16:41:00Z</dcterms:created>
  <dcterms:modified xsi:type="dcterms:W3CDTF">2023-03-23T10:26:00Z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MediaServiceImageTags">
    <vt:lpwstr/>
  </property>
</Properties>
</file>