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89164" w14:textId="64854FB3" w:rsidR="00D8540E" w:rsidRDefault="004D0E08" w:rsidP="00B75C08">
      <w:pPr>
        <w:spacing w:after="0"/>
        <w:jc w:val="center"/>
        <w:rPr>
          <w:rFonts w:ascii="Arial" w:hAnsi="Arial" w:cs="Arial"/>
          <w:b/>
          <w:sz w:val="24"/>
          <w:szCs w:val="24"/>
        </w:rPr>
      </w:pPr>
      <w:r>
        <w:rPr>
          <w:rFonts w:ascii="Arial" w:hAnsi="Arial" w:cs="Arial"/>
          <w:b/>
          <w:sz w:val="24"/>
          <w:szCs w:val="24"/>
        </w:rPr>
        <w:t xml:space="preserve">DISCUSSION PAPER - </w:t>
      </w:r>
    </w:p>
    <w:p w14:paraId="0971A240" w14:textId="27428203" w:rsidR="008E08D8" w:rsidRDefault="008E08D8" w:rsidP="00B75C08">
      <w:pPr>
        <w:spacing w:after="0"/>
        <w:jc w:val="center"/>
        <w:rPr>
          <w:rFonts w:ascii="Arial" w:hAnsi="Arial" w:cs="Arial"/>
          <w:b/>
          <w:sz w:val="24"/>
          <w:szCs w:val="24"/>
        </w:rPr>
      </w:pPr>
      <w:r>
        <w:rPr>
          <w:rFonts w:ascii="Arial" w:hAnsi="Arial" w:cs="Arial"/>
          <w:b/>
          <w:sz w:val="24"/>
          <w:szCs w:val="24"/>
        </w:rPr>
        <w:t xml:space="preserve">THE </w:t>
      </w:r>
      <w:r w:rsidRPr="00296CCD">
        <w:rPr>
          <w:rFonts w:ascii="Arial" w:hAnsi="Arial" w:cs="Arial"/>
          <w:b/>
          <w:sz w:val="24"/>
          <w:szCs w:val="24"/>
        </w:rPr>
        <w:t xml:space="preserve">ACCREDITATION OF PROGRAMMES </w:t>
      </w:r>
      <w:r w:rsidR="00A14EDF">
        <w:rPr>
          <w:rFonts w:ascii="Arial" w:hAnsi="Arial" w:cs="Arial"/>
          <w:b/>
          <w:sz w:val="24"/>
          <w:szCs w:val="24"/>
        </w:rPr>
        <w:t xml:space="preserve">FOR INITIAL TEACHER EDUCATION </w:t>
      </w:r>
      <w:r w:rsidRPr="00296CCD">
        <w:rPr>
          <w:rFonts w:ascii="Arial" w:hAnsi="Arial" w:cs="Arial"/>
          <w:b/>
          <w:sz w:val="24"/>
          <w:szCs w:val="24"/>
        </w:rPr>
        <w:t>DELIVERED IN NORTHERN IRELAND</w:t>
      </w:r>
    </w:p>
    <w:p w14:paraId="676A1840" w14:textId="77777777" w:rsidR="00296CCD" w:rsidRDefault="00296CCD" w:rsidP="00B75C08">
      <w:pPr>
        <w:spacing w:after="0"/>
        <w:rPr>
          <w:rFonts w:ascii="Arial" w:hAnsi="Arial" w:cs="Arial"/>
          <w:sz w:val="24"/>
          <w:szCs w:val="24"/>
        </w:rPr>
      </w:pPr>
    </w:p>
    <w:p w14:paraId="4268B4F5" w14:textId="77777777" w:rsidR="00D10B2B" w:rsidRPr="00766047" w:rsidRDefault="00EA14C5" w:rsidP="00B75C08">
      <w:pPr>
        <w:spacing w:after="0"/>
        <w:ind w:left="-142"/>
        <w:rPr>
          <w:rFonts w:ascii="Arial" w:hAnsi="Arial" w:cs="Arial"/>
          <w:b/>
          <w:sz w:val="24"/>
          <w:szCs w:val="24"/>
          <w:u w:val="single"/>
        </w:rPr>
      </w:pPr>
      <w:r w:rsidRPr="00766047">
        <w:rPr>
          <w:rFonts w:ascii="Arial" w:hAnsi="Arial" w:cs="Arial"/>
          <w:b/>
          <w:sz w:val="24"/>
          <w:szCs w:val="24"/>
          <w:u w:val="single"/>
        </w:rPr>
        <w:t>Background</w:t>
      </w:r>
    </w:p>
    <w:p w14:paraId="45F2F96A" w14:textId="77777777" w:rsidR="00B75C08" w:rsidRPr="00D10B2B" w:rsidRDefault="00B75C08" w:rsidP="00B75C08">
      <w:pPr>
        <w:spacing w:after="0"/>
        <w:ind w:left="-142"/>
        <w:rPr>
          <w:rFonts w:ascii="Arial" w:hAnsi="Arial" w:cs="Arial"/>
          <w:b/>
          <w:sz w:val="24"/>
          <w:szCs w:val="24"/>
        </w:rPr>
      </w:pPr>
    </w:p>
    <w:p w14:paraId="15572C41" w14:textId="6C0C02FF" w:rsidR="00D10B2B" w:rsidRDefault="00296CCD" w:rsidP="00B75C08">
      <w:pPr>
        <w:pStyle w:val="ListParagraph"/>
        <w:numPr>
          <w:ilvl w:val="0"/>
          <w:numId w:val="3"/>
        </w:numPr>
        <w:spacing w:after="0"/>
        <w:ind w:left="284"/>
        <w:rPr>
          <w:rFonts w:ascii="Arial" w:hAnsi="Arial" w:cs="Arial"/>
          <w:sz w:val="24"/>
          <w:szCs w:val="24"/>
        </w:rPr>
      </w:pPr>
      <w:r w:rsidRPr="00377BE9">
        <w:rPr>
          <w:rFonts w:ascii="Arial" w:hAnsi="Arial" w:cs="Arial"/>
          <w:sz w:val="24"/>
          <w:szCs w:val="24"/>
        </w:rPr>
        <w:t>The accreditation</w:t>
      </w:r>
      <w:r w:rsidR="00390836">
        <w:rPr>
          <w:rFonts w:ascii="Arial" w:hAnsi="Arial" w:cs="Arial"/>
          <w:sz w:val="24"/>
          <w:szCs w:val="24"/>
        </w:rPr>
        <w:t>, on behalf of the Department</w:t>
      </w:r>
      <w:r w:rsidR="00135D8F">
        <w:rPr>
          <w:rFonts w:ascii="Arial" w:hAnsi="Arial" w:cs="Arial"/>
          <w:sz w:val="24"/>
          <w:szCs w:val="24"/>
        </w:rPr>
        <w:t xml:space="preserve"> of Education (DE)</w:t>
      </w:r>
      <w:r w:rsidR="00390836">
        <w:rPr>
          <w:rFonts w:ascii="Arial" w:hAnsi="Arial" w:cs="Arial"/>
          <w:sz w:val="24"/>
          <w:szCs w:val="24"/>
        </w:rPr>
        <w:t>,</w:t>
      </w:r>
      <w:r w:rsidRPr="00377BE9">
        <w:rPr>
          <w:rFonts w:ascii="Arial" w:hAnsi="Arial" w:cs="Arial"/>
          <w:sz w:val="24"/>
          <w:szCs w:val="24"/>
        </w:rPr>
        <w:t xml:space="preserve"> of Initial Teacher Education (ITE) programmes delivered in N</w:t>
      </w:r>
      <w:r w:rsidR="00EA14C5" w:rsidRPr="00377BE9">
        <w:rPr>
          <w:rFonts w:ascii="Arial" w:hAnsi="Arial" w:cs="Arial"/>
          <w:sz w:val="24"/>
          <w:szCs w:val="24"/>
        </w:rPr>
        <w:t>orthern Ireland</w:t>
      </w:r>
      <w:r w:rsidR="00135D8F">
        <w:rPr>
          <w:rFonts w:ascii="Arial" w:hAnsi="Arial" w:cs="Arial"/>
          <w:sz w:val="24"/>
          <w:szCs w:val="24"/>
        </w:rPr>
        <w:t xml:space="preserve"> by Higher Education Institutions (HEIs),</w:t>
      </w:r>
      <w:r w:rsidR="005E7EA1">
        <w:rPr>
          <w:rFonts w:ascii="Arial" w:hAnsi="Arial" w:cs="Arial"/>
          <w:sz w:val="24"/>
          <w:szCs w:val="24"/>
        </w:rPr>
        <w:t xml:space="preserve"> </w:t>
      </w:r>
      <w:r w:rsidRPr="00377BE9">
        <w:rPr>
          <w:rFonts w:ascii="Arial" w:hAnsi="Arial" w:cs="Arial"/>
          <w:sz w:val="24"/>
          <w:szCs w:val="24"/>
        </w:rPr>
        <w:t>is one of GTCNI’s statutory functions</w:t>
      </w:r>
      <w:r w:rsidR="00D10B2B" w:rsidRPr="00377BE9">
        <w:rPr>
          <w:rFonts w:ascii="Arial" w:hAnsi="Arial" w:cs="Arial"/>
          <w:sz w:val="24"/>
          <w:szCs w:val="24"/>
        </w:rPr>
        <w:t xml:space="preserve"> </w:t>
      </w:r>
      <w:r w:rsidR="005E7EA1">
        <w:rPr>
          <w:rFonts w:ascii="Arial" w:hAnsi="Arial" w:cs="Arial"/>
          <w:sz w:val="24"/>
          <w:szCs w:val="24"/>
        </w:rPr>
        <w:t>(under Article 37 of the Education (Northern Ireland) Order 1998</w:t>
      </w:r>
      <w:r w:rsidR="001F402E">
        <w:rPr>
          <w:rFonts w:ascii="Arial" w:hAnsi="Arial" w:cs="Arial"/>
          <w:sz w:val="24"/>
          <w:szCs w:val="24"/>
        </w:rPr>
        <w:t xml:space="preserve"> (as amended by </w:t>
      </w:r>
      <w:r w:rsidR="001F402E" w:rsidRPr="001F402E">
        <w:rPr>
          <w:rFonts w:ascii="Arial" w:hAnsi="Arial" w:cs="Arial"/>
          <w:sz w:val="24"/>
          <w:szCs w:val="24"/>
        </w:rPr>
        <w:t>The General Teaching Council for Northern Ireland (Approval of Qualifications) Regulations (Northern Ireland) 2007</w:t>
      </w:r>
      <w:r w:rsidR="005E7EA1">
        <w:rPr>
          <w:rFonts w:ascii="Arial" w:hAnsi="Arial" w:cs="Arial"/>
          <w:sz w:val="24"/>
          <w:szCs w:val="24"/>
        </w:rPr>
        <w:t>)</w:t>
      </w:r>
      <w:r w:rsidR="003E1343">
        <w:rPr>
          <w:rFonts w:ascii="Arial" w:hAnsi="Arial" w:cs="Arial"/>
          <w:sz w:val="24"/>
          <w:szCs w:val="24"/>
        </w:rPr>
        <w:t>)</w:t>
      </w:r>
      <w:r w:rsidR="00390836">
        <w:rPr>
          <w:rFonts w:ascii="Arial" w:hAnsi="Arial" w:cs="Arial"/>
          <w:sz w:val="24"/>
          <w:szCs w:val="24"/>
        </w:rPr>
        <w:t xml:space="preserve">. </w:t>
      </w:r>
      <w:r w:rsidR="002B23D9">
        <w:rPr>
          <w:rFonts w:ascii="Arial" w:hAnsi="Arial" w:cs="Arial"/>
          <w:sz w:val="24"/>
          <w:szCs w:val="24"/>
        </w:rPr>
        <w:t>The accreditation</w:t>
      </w:r>
      <w:r w:rsidR="00D10B2B" w:rsidRPr="00377BE9">
        <w:rPr>
          <w:rFonts w:ascii="Arial" w:hAnsi="Arial" w:cs="Arial"/>
          <w:sz w:val="24"/>
          <w:szCs w:val="24"/>
        </w:rPr>
        <w:t xml:space="preserve"> </w:t>
      </w:r>
      <w:r w:rsidR="002B23D9">
        <w:rPr>
          <w:rFonts w:ascii="Arial" w:hAnsi="Arial" w:cs="Arial"/>
          <w:sz w:val="24"/>
          <w:szCs w:val="24"/>
        </w:rPr>
        <w:t xml:space="preserve">process </w:t>
      </w:r>
      <w:r w:rsidR="00154FE6">
        <w:rPr>
          <w:rFonts w:ascii="Arial" w:hAnsi="Arial" w:cs="Arial"/>
          <w:sz w:val="24"/>
          <w:szCs w:val="24"/>
        </w:rPr>
        <w:t>is</w:t>
      </w:r>
      <w:r w:rsidR="00D10B2B" w:rsidRPr="00377BE9">
        <w:rPr>
          <w:rFonts w:ascii="Arial" w:hAnsi="Arial" w:cs="Arial"/>
          <w:sz w:val="24"/>
          <w:szCs w:val="24"/>
        </w:rPr>
        <w:t xml:space="preserve"> conducted in accordance with</w:t>
      </w:r>
      <w:r w:rsidR="00D45A21">
        <w:rPr>
          <w:rFonts w:ascii="Arial" w:hAnsi="Arial" w:cs="Arial"/>
          <w:sz w:val="24"/>
          <w:szCs w:val="24"/>
        </w:rPr>
        <w:t xml:space="preserve"> the guidance set out in</w:t>
      </w:r>
      <w:r w:rsidR="00D10B2B" w:rsidRPr="00377BE9">
        <w:rPr>
          <w:rFonts w:ascii="Arial" w:hAnsi="Arial" w:cs="Arial"/>
          <w:sz w:val="24"/>
          <w:szCs w:val="24"/>
        </w:rPr>
        <w:t>:</w:t>
      </w:r>
    </w:p>
    <w:p w14:paraId="4C497DCC" w14:textId="77777777" w:rsidR="00B75C08" w:rsidRPr="00377BE9" w:rsidRDefault="00B75C08" w:rsidP="00B75C08">
      <w:pPr>
        <w:pStyle w:val="ListParagraph"/>
        <w:spacing w:after="0"/>
        <w:ind w:left="284"/>
        <w:rPr>
          <w:rFonts w:ascii="Arial" w:hAnsi="Arial" w:cs="Arial"/>
          <w:sz w:val="24"/>
          <w:szCs w:val="24"/>
        </w:rPr>
      </w:pPr>
    </w:p>
    <w:p w14:paraId="3A6BE030" w14:textId="52AA3CEA" w:rsidR="00296CCD" w:rsidRDefault="00D10B2B" w:rsidP="00B75C08">
      <w:pPr>
        <w:pStyle w:val="ListParagraph"/>
        <w:numPr>
          <w:ilvl w:val="0"/>
          <w:numId w:val="1"/>
        </w:numPr>
        <w:spacing w:after="0"/>
        <w:ind w:left="709"/>
        <w:rPr>
          <w:rFonts w:ascii="Arial" w:hAnsi="Arial" w:cs="Arial"/>
          <w:sz w:val="24"/>
          <w:szCs w:val="24"/>
        </w:rPr>
      </w:pPr>
      <w:r w:rsidRPr="00D10B2B">
        <w:rPr>
          <w:rFonts w:ascii="Arial" w:hAnsi="Arial" w:cs="Arial"/>
          <w:sz w:val="24"/>
          <w:szCs w:val="24"/>
        </w:rPr>
        <w:t xml:space="preserve">DE Circular 2010/03 </w:t>
      </w:r>
      <w:r>
        <w:rPr>
          <w:rFonts w:ascii="Arial" w:hAnsi="Arial" w:cs="Arial"/>
          <w:sz w:val="24"/>
          <w:szCs w:val="24"/>
        </w:rPr>
        <w:t>–</w:t>
      </w:r>
      <w:r w:rsidRPr="00D10B2B">
        <w:rPr>
          <w:rFonts w:ascii="Arial" w:hAnsi="Arial" w:cs="Arial"/>
          <w:sz w:val="24"/>
          <w:szCs w:val="24"/>
        </w:rPr>
        <w:t xml:space="preserve"> </w:t>
      </w:r>
      <w:r>
        <w:rPr>
          <w:rFonts w:ascii="Arial" w:hAnsi="Arial" w:cs="Arial"/>
          <w:sz w:val="24"/>
          <w:szCs w:val="24"/>
        </w:rPr>
        <w:t>“</w:t>
      </w:r>
      <w:r w:rsidRPr="00D10B2B">
        <w:rPr>
          <w:rFonts w:ascii="Arial" w:hAnsi="Arial" w:cs="Arial"/>
          <w:sz w:val="24"/>
          <w:szCs w:val="24"/>
        </w:rPr>
        <w:t>Initial Teacher Education: Approval of Programmes</w:t>
      </w:r>
      <w:r>
        <w:rPr>
          <w:rFonts w:ascii="Arial" w:hAnsi="Arial" w:cs="Arial"/>
          <w:sz w:val="24"/>
          <w:szCs w:val="24"/>
        </w:rPr>
        <w:t>”</w:t>
      </w:r>
      <w:r w:rsidR="00BE1B96">
        <w:rPr>
          <w:rFonts w:ascii="Arial" w:hAnsi="Arial" w:cs="Arial"/>
          <w:sz w:val="24"/>
          <w:szCs w:val="24"/>
        </w:rPr>
        <w:t xml:space="preserve"> (</w:t>
      </w:r>
      <w:r w:rsidR="00BE1B96" w:rsidRPr="00B878E3">
        <w:rPr>
          <w:rFonts w:ascii="Arial" w:hAnsi="Arial" w:cs="Arial"/>
          <w:b/>
          <w:bCs/>
          <w:sz w:val="24"/>
          <w:szCs w:val="24"/>
        </w:rPr>
        <w:t>Annex A</w:t>
      </w:r>
      <w:r w:rsidR="00BE1B96">
        <w:rPr>
          <w:rFonts w:ascii="Arial" w:hAnsi="Arial" w:cs="Arial"/>
          <w:sz w:val="24"/>
          <w:szCs w:val="24"/>
        </w:rPr>
        <w:t>)</w:t>
      </w:r>
      <w:r w:rsidRPr="00D10B2B">
        <w:rPr>
          <w:rFonts w:ascii="Arial" w:hAnsi="Arial" w:cs="Arial"/>
          <w:sz w:val="24"/>
          <w:szCs w:val="24"/>
        </w:rPr>
        <w:t>;</w:t>
      </w:r>
      <w:r>
        <w:rPr>
          <w:rFonts w:ascii="Arial" w:hAnsi="Arial" w:cs="Arial"/>
          <w:sz w:val="24"/>
          <w:szCs w:val="24"/>
        </w:rPr>
        <w:t xml:space="preserve"> and</w:t>
      </w:r>
      <w:r w:rsidR="00B878E3">
        <w:rPr>
          <w:rFonts w:ascii="Arial" w:hAnsi="Arial" w:cs="Arial"/>
          <w:sz w:val="24"/>
          <w:szCs w:val="24"/>
        </w:rPr>
        <w:t xml:space="preserve"> </w:t>
      </w:r>
    </w:p>
    <w:p w14:paraId="57846C8D" w14:textId="64AD3FE3" w:rsidR="005E7EA1" w:rsidRPr="005E7EA1" w:rsidRDefault="00D10B2B" w:rsidP="00B75C08">
      <w:pPr>
        <w:pStyle w:val="ListParagraph"/>
        <w:numPr>
          <w:ilvl w:val="0"/>
          <w:numId w:val="1"/>
        </w:numPr>
        <w:spacing w:after="0"/>
        <w:ind w:left="709"/>
        <w:rPr>
          <w:rFonts w:ascii="Arial" w:hAnsi="Arial" w:cs="Arial"/>
          <w:sz w:val="24"/>
          <w:szCs w:val="24"/>
        </w:rPr>
      </w:pPr>
      <w:bookmarkStart w:id="0" w:name="_Hlk127803725"/>
      <w:r>
        <w:rPr>
          <w:rFonts w:ascii="Arial" w:hAnsi="Arial" w:cs="Arial"/>
          <w:sz w:val="24"/>
          <w:szCs w:val="24"/>
        </w:rPr>
        <w:t>GTCNI’s “</w:t>
      </w:r>
      <w:r w:rsidRPr="00D10B2B">
        <w:rPr>
          <w:rFonts w:ascii="Arial" w:hAnsi="Arial" w:cs="Arial"/>
          <w:sz w:val="24"/>
          <w:szCs w:val="24"/>
        </w:rPr>
        <w:t xml:space="preserve">The </w:t>
      </w:r>
      <w:bookmarkStart w:id="1" w:name="_Hlk127803637"/>
      <w:r w:rsidRPr="00D10B2B">
        <w:rPr>
          <w:rFonts w:ascii="Arial" w:hAnsi="Arial" w:cs="Arial"/>
          <w:sz w:val="24"/>
          <w:szCs w:val="24"/>
        </w:rPr>
        <w:t xml:space="preserve">Accreditation of Initial Teacher Education Programmes in Northern Ireland </w:t>
      </w:r>
      <w:r>
        <w:rPr>
          <w:rFonts w:ascii="Arial" w:hAnsi="Arial" w:cs="Arial"/>
          <w:sz w:val="24"/>
          <w:szCs w:val="24"/>
        </w:rPr>
        <w:t>– Accreditation Process</w:t>
      </w:r>
      <w:bookmarkEnd w:id="1"/>
      <w:r>
        <w:rPr>
          <w:rFonts w:ascii="Arial" w:hAnsi="Arial" w:cs="Arial"/>
          <w:sz w:val="24"/>
          <w:szCs w:val="24"/>
        </w:rPr>
        <w:t xml:space="preserve">” </w:t>
      </w:r>
      <w:r w:rsidRPr="00D10B2B">
        <w:rPr>
          <w:rFonts w:ascii="Arial" w:hAnsi="Arial" w:cs="Arial"/>
          <w:sz w:val="24"/>
          <w:szCs w:val="24"/>
        </w:rPr>
        <w:t>(as agreed for 2018-19)</w:t>
      </w:r>
      <w:r w:rsidR="00B36485">
        <w:rPr>
          <w:rFonts w:ascii="Arial" w:hAnsi="Arial" w:cs="Arial"/>
          <w:sz w:val="24"/>
          <w:szCs w:val="24"/>
        </w:rPr>
        <w:t>,</w:t>
      </w:r>
      <w:r w:rsidRPr="00D10B2B">
        <w:rPr>
          <w:rFonts w:ascii="Arial" w:hAnsi="Arial" w:cs="Arial"/>
          <w:sz w:val="24"/>
          <w:szCs w:val="24"/>
        </w:rPr>
        <w:t xml:space="preserve"> including the Terms of Reference at Annex 5</w:t>
      </w:r>
      <w:r>
        <w:rPr>
          <w:rFonts w:ascii="Arial" w:hAnsi="Arial" w:cs="Arial"/>
          <w:sz w:val="24"/>
          <w:szCs w:val="24"/>
        </w:rPr>
        <w:t>.</w:t>
      </w:r>
      <w:r w:rsidR="00B878E3">
        <w:rPr>
          <w:rFonts w:ascii="Arial" w:hAnsi="Arial" w:cs="Arial"/>
          <w:sz w:val="24"/>
          <w:szCs w:val="24"/>
        </w:rPr>
        <w:t xml:space="preserve"> (</w:t>
      </w:r>
      <w:r w:rsidR="00B878E3" w:rsidRPr="00B878E3">
        <w:rPr>
          <w:rFonts w:ascii="Arial" w:hAnsi="Arial" w:cs="Arial"/>
          <w:b/>
          <w:bCs/>
          <w:sz w:val="24"/>
          <w:szCs w:val="24"/>
        </w:rPr>
        <w:t>Annex B</w:t>
      </w:r>
      <w:r w:rsidR="00B878E3">
        <w:rPr>
          <w:rFonts w:ascii="Arial" w:hAnsi="Arial" w:cs="Arial"/>
          <w:sz w:val="24"/>
          <w:szCs w:val="24"/>
        </w:rPr>
        <w:t>)</w:t>
      </w:r>
    </w:p>
    <w:bookmarkEnd w:id="0"/>
    <w:p w14:paraId="0E453245" w14:textId="77777777" w:rsidR="00D10B2B" w:rsidRDefault="005E7EA1" w:rsidP="00B75C08">
      <w:pPr>
        <w:spacing w:after="0"/>
        <w:ind w:left="284"/>
        <w:rPr>
          <w:rFonts w:ascii="Arial" w:hAnsi="Arial" w:cs="Arial"/>
          <w:sz w:val="24"/>
          <w:szCs w:val="24"/>
        </w:rPr>
      </w:pPr>
      <w:r>
        <w:rPr>
          <w:rFonts w:ascii="Arial" w:hAnsi="Arial" w:cs="Arial"/>
          <w:sz w:val="24"/>
          <w:szCs w:val="24"/>
        </w:rPr>
        <w:t xml:space="preserve">  </w:t>
      </w:r>
    </w:p>
    <w:p w14:paraId="72182D7C" w14:textId="7D6354E6" w:rsidR="005C3B8F" w:rsidRPr="00DF52D0" w:rsidRDefault="004B2A99" w:rsidP="00DF52D0">
      <w:pPr>
        <w:pStyle w:val="ListParagraph"/>
        <w:numPr>
          <w:ilvl w:val="0"/>
          <w:numId w:val="3"/>
        </w:numPr>
        <w:ind w:left="284"/>
        <w:rPr>
          <w:rFonts w:ascii="Arial" w:hAnsi="Arial" w:cs="Arial"/>
          <w:sz w:val="24"/>
          <w:szCs w:val="24"/>
        </w:rPr>
      </w:pPr>
      <w:r w:rsidRPr="00DF52D0">
        <w:rPr>
          <w:rFonts w:ascii="Arial" w:hAnsi="Arial" w:cs="Arial"/>
          <w:sz w:val="24"/>
          <w:szCs w:val="24"/>
        </w:rPr>
        <w:t xml:space="preserve">As set out in the Circular (2010/03), the </w:t>
      </w:r>
      <w:r w:rsidR="00D45A21" w:rsidRPr="00DF52D0">
        <w:rPr>
          <w:rFonts w:ascii="Arial" w:hAnsi="Arial" w:cs="Arial"/>
          <w:sz w:val="24"/>
          <w:szCs w:val="24"/>
        </w:rPr>
        <w:t>a</w:t>
      </w:r>
      <w:r w:rsidR="00EA14C5" w:rsidRPr="00DF52D0">
        <w:rPr>
          <w:rFonts w:ascii="Arial" w:hAnsi="Arial" w:cs="Arial"/>
          <w:sz w:val="24"/>
          <w:szCs w:val="24"/>
        </w:rPr>
        <w:t xml:space="preserve">ccreditation of </w:t>
      </w:r>
      <w:r w:rsidRPr="00DF52D0">
        <w:rPr>
          <w:rFonts w:ascii="Arial" w:hAnsi="Arial" w:cs="Arial"/>
          <w:sz w:val="24"/>
          <w:szCs w:val="24"/>
        </w:rPr>
        <w:t xml:space="preserve">ITE </w:t>
      </w:r>
      <w:r w:rsidR="00EA14C5" w:rsidRPr="00DF52D0">
        <w:rPr>
          <w:rFonts w:ascii="Arial" w:hAnsi="Arial" w:cs="Arial"/>
          <w:sz w:val="24"/>
          <w:szCs w:val="24"/>
        </w:rPr>
        <w:t>programme</w:t>
      </w:r>
      <w:r w:rsidR="00F04688">
        <w:rPr>
          <w:rFonts w:ascii="Arial" w:hAnsi="Arial" w:cs="Arial"/>
          <w:sz w:val="24"/>
          <w:szCs w:val="24"/>
        </w:rPr>
        <w:t>s</w:t>
      </w:r>
      <w:r w:rsidR="00EA14C5" w:rsidRPr="00DF52D0">
        <w:rPr>
          <w:rFonts w:ascii="Arial" w:hAnsi="Arial" w:cs="Arial"/>
          <w:sz w:val="24"/>
          <w:szCs w:val="24"/>
        </w:rPr>
        <w:t xml:space="preserve"> last</w:t>
      </w:r>
      <w:r w:rsidR="00F04688">
        <w:rPr>
          <w:rFonts w:ascii="Arial" w:hAnsi="Arial" w:cs="Arial"/>
          <w:sz w:val="24"/>
          <w:szCs w:val="24"/>
        </w:rPr>
        <w:t>s</w:t>
      </w:r>
      <w:r w:rsidR="00EA14C5" w:rsidRPr="00DF52D0">
        <w:rPr>
          <w:rFonts w:ascii="Arial" w:hAnsi="Arial" w:cs="Arial"/>
          <w:sz w:val="24"/>
          <w:szCs w:val="24"/>
        </w:rPr>
        <w:t xml:space="preserve"> for four years. </w:t>
      </w:r>
      <w:r w:rsidRPr="00DF52D0">
        <w:rPr>
          <w:rFonts w:ascii="Arial" w:hAnsi="Arial" w:cs="Arial"/>
          <w:sz w:val="24"/>
          <w:szCs w:val="24"/>
        </w:rPr>
        <w:t>For PGCE programmes (involving all four HEIs)</w:t>
      </w:r>
      <w:r w:rsidR="003E1343">
        <w:rPr>
          <w:rFonts w:ascii="Arial" w:hAnsi="Arial" w:cs="Arial"/>
          <w:sz w:val="24"/>
          <w:szCs w:val="24"/>
        </w:rPr>
        <w:t>,</w:t>
      </w:r>
      <w:r w:rsidRPr="00DF52D0">
        <w:rPr>
          <w:rFonts w:ascii="Arial" w:hAnsi="Arial" w:cs="Arial"/>
          <w:sz w:val="24"/>
          <w:szCs w:val="24"/>
        </w:rPr>
        <w:t xml:space="preserve"> accreditation last took place in 2019. The BEd undergraduate programmes delivered by Stranmillis and St Mary’s University College</w:t>
      </w:r>
      <w:r w:rsidR="00F04688">
        <w:rPr>
          <w:rFonts w:ascii="Arial" w:hAnsi="Arial" w:cs="Arial"/>
          <w:sz w:val="24"/>
          <w:szCs w:val="24"/>
        </w:rPr>
        <w:t>s</w:t>
      </w:r>
      <w:r w:rsidRPr="00DF52D0">
        <w:rPr>
          <w:rFonts w:ascii="Arial" w:hAnsi="Arial" w:cs="Arial"/>
          <w:sz w:val="24"/>
          <w:szCs w:val="24"/>
        </w:rPr>
        <w:t xml:space="preserve"> were last accredited in 2020, meaning that all ITE </w:t>
      </w:r>
      <w:r w:rsidR="002479AA">
        <w:rPr>
          <w:rFonts w:ascii="Arial" w:hAnsi="Arial" w:cs="Arial"/>
          <w:sz w:val="24"/>
          <w:szCs w:val="24"/>
        </w:rPr>
        <w:t>programmes</w:t>
      </w:r>
      <w:r w:rsidRPr="00DF52D0">
        <w:rPr>
          <w:rFonts w:ascii="Arial" w:hAnsi="Arial" w:cs="Arial"/>
          <w:sz w:val="24"/>
          <w:szCs w:val="24"/>
        </w:rPr>
        <w:t xml:space="preserve"> should be reaccredited over the next two years.</w:t>
      </w:r>
      <w:r w:rsidR="00DF52D0" w:rsidRPr="00DF52D0">
        <w:rPr>
          <w:rFonts w:ascii="Arial" w:hAnsi="Arial" w:cs="Arial"/>
          <w:sz w:val="24"/>
          <w:szCs w:val="24"/>
        </w:rPr>
        <w:t xml:space="preserve"> </w:t>
      </w:r>
    </w:p>
    <w:p w14:paraId="77291F6E" w14:textId="77777777" w:rsidR="00377BE9" w:rsidRPr="00377BE9" w:rsidRDefault="00377BE9" w:rsidP="00B75C08">
      <w:pPr>
        <w:pStyle w:val="ListParagraph"/>
        <w:ind w:left="284"/>
        <w:rPr>
          <w:rFonts w:ascii="Arial" w:hAnsi="Arial" w:cs="Arial"/>
          <w:sz w:val="24"/>
          <w:szCs w:val="24"/>
        </w:rPr>
      </w:pPr>
    </w:p>
    <w:p w14:paraId="06B89B79" w14:textId="433584B0" w:rsidR="00B878E3" w:rsidRDefault="005C3B8F" w:rsidP="00B75C08">
      <w:pPr>
        <w:pStyle w:val="ListParagraph"/>
        <w:numPr>
          <w:ilvl w:val="0"/>
          <w:numId w:val="3"/>
        </w:numPr>
        <w:spacing w:after="0"/>
        <w:ind w:left="284"/>
        <w:rPr>
          <w:rFonts w:ascii="Arial" w:hAnsi="Arial" w:cs="Arial"/>
          <w:sz w:val="24"/>
          <w:szCs w:val="24"/>
        </w:rPr>
      </w:pPr>
      <w:r>
        <w:rPr>
          <w:rFonts w:ascii="Arial" w:hAnsi="Arial" w:cs="Arial"/>
          <w:sz w:val="24"/>
          <w:szCs w:val="24"/>
        </w:rPr>
        <w:t>In considering the need for reaccreditation at this time</w:t>
      </w:r>
      <w:r w:rsidR="003E1343">
        <w:rPr>
          <w:rFonts w:ascii="Arial" w:hAnsi="Arial" w:cs="Arial"/>
          <w:sz w:val="24"/>
          <w:szCs w:val="24"/>
        </w:rPr>
        <w:t>,</w:t>
      </w:r>
      <w:r>
        <w:rPr>
          <w:rFonts w:ascii="Arial" w:hAnsi="Arial" w:cs="Arial"/>
          <w:sz w:val="24"/>
          <w:szCs w:val="24"/>
        </w:rPr>
        <w:t xml:space="preserve"> it is important to understand the changed context in which this process c</w:t>
      </w:r>
      <w:r w:rsidR="00B878E3">
        <w:rPr>
          <w:rFonts w:ascii="Arial" w:hAnsi="Arial" w:cs="Arial"/>
          <w:sz w:val="24"/>
          <w:szCs w:val="24"/>
        </w:rPr>
        <w:t xml:space="preserve">ould </w:t>
      </w:r>
      <w:r>
        <w:rPr>
          <w:rFonts w:ascii="Arial" w:hAnsi="Arial" w:cs="Arial"/>
          <w:sz w:val="24"/>
          <w:szCs w:val="24"/>
        </w:rPr>
        <w:t xml:space="preserve">be </w:t>
      </w:r>
      <w:r w:rsidR="00B878E3">
        <w:rPr>
          <w:rFonts w:ascii="Arial" w:hAnsi="Arial" w:cs="Arial"/>
          <w:sz w:val="24"/>
          <w:szCs w:val="24"/>
        </w:rPr>
        <w:t>run:</w:t>
      </w:r>
    </w:p>
    <w:p w14:paraId="73312987" w14:textId="77777777" w:rsidR="00B878E3" w:rsidRPr="00B878E3" w:rsidRDefault="00B878E3" w:rsidP="00B878E3">
      <w:pPr>
        <w:pStyle w:val="ListParagraph"/>
        <w:rPr>
          <w:rFonts w:ascii="Arial" w:hAnsi="Arial" w:cs="Arial"/>
          <w:sz w:val="24"/>
          <w:szCs w:val="24"/>
        </w:rPr>
      </w:pPr>
    </w:p>
    <w:p w14:paraId="2F6C1A91" w14:textId="58458D20" w:rsidR="00B878E3" w:rsidRDefault="005C3B8F" w:rsidP="00B878E3">
      <w:pPr>
        <w:pStyle w:val="ListParagraph"/>
        <w:numPr>
          <w:ilvl w:val="1"/>
          <w:numId w:val="3"/>
        </w:numPr>
        <w:spacing w:after="0"/>
        <w:rPr>
          <w:rFonts w:ascii="Arial" w:hAnsi="Arial" w:cs="Arial"/>
          <w:sz w:val="24"/>
          <w:szCs w:val="24"/>
        </w:rPr>
      </w:pPr>
      <w:r>
        <w:rPr>
          <w:rFonts w:ascii="Arial" w:hAnsi="Arial" w:cs="Arial"/>
          <w:sz w:val="24"/>
          <w:szCs w:val="24"/>
        </w:rPr>
        <w:t xml:space="preserve">GTCNI </w:t>
      </w:r>
      <w:r w:rsidR="00DF52D0">
        <w:rPr>
          <w:rFonts w:ascii="Arial" w:hAnsi="Arial" w:cs="Arial"/>
          <w:sz w:val="24"/>
          <w:szCs w:val="24"/>
        </w:rPr>
        <w:t xml:space="preserve">is currently operating without its Council and with no in-house </w:t>
      </w:r>
      <w:r w:rsidR="00B878E3">
        <w:rPr>
          <w:rFonts w:ascii="Arial" w:hAnsi="Arial" w:cs="Arial"/>
          <w:sz w:val="24"/>
          <w:szCs w:val="24"/>
        </w:rPr>
        <w:t xml:space="preserve">educator </w:t>
      </w:r>
      <w:r w:rsidR="00DF52D0">
        <w:rPr>
          <w:rFonts w:ascii="Arial" w:hAnsi="Arial" w:cs="Arial"/>
          <w:sz w:val="24"/>
          <w:szCs w:val="24"/>
        </w:rPr>
        <w:t xml:space="preserve">expertise to </w:t>
      </w:r>
      <w:r w:rsidR="00B878E3">
        <w:rPr>
          <w:rFonts w:ascii="Arial" w:hAnsi="Arial" w:cs="Arial"/>
          <w:sz w:val="24"/>
          <w:szCs w:val="24"/>
        </w:rPr>
        <w:t xml:space="preserve">meaningfully assess </w:t>
      </w:r>
      <w:r w:rsidR="00DF52D0">
        <w:rPr>
          <w:rFonts w:ascii="Arial" w:hAnsi="Arial" w:cs="Arial"/>
          <w:sz w:val="24"/>
          <w:szCs w:val="24"/>
        </w:rPr>
        <w:t xml:space="preserve">‘portfolios of evidence’ </w:t>
      </w:r>
      <w:r w:rsidR="00B878E3">
        <w:rPr>
          <w:rFonts w:ascii="Arial" w:hAnsi="Arial" w:cs="Arial"/>
          <w:sz w:val="24"/>
          <w:szCs w:val="24"/>
        </w:rPr>
        <w:t>such as th</w:t>
      </w:r>
      <w:r w:rsidR="00F04688">
        <w:rPr>
          <w:rFonts w:ascii="Arial" w:hAnsi="Arial" w:cs="Arial"/>
          <w:sz w:val="24"/>
          <w:szCs w:val="24"/>
        </w:rPr>
        <w:t>ose</w:t>
      </w:r>
      <w:r w:rsidR="00B878E3">
        <w:rPr>
          <w:rFonts w:ascii="Arial" w:hAnsi="Arial" w:cs="Arial"/>
          <w:sz w:val="24"/>
          <w:szCs w:val="24"/>
        </w:rPr>
        <w:t xml:space="preserve"> </w:t>
      </w:r>
      <w:r w:rsidR="00DF52D0">
        <w:rPr>
          <w:rFonts w:ascii="Arial" w:hAnsi="Arial" w:cs="Arial"/>
          <w:sz w:val="24"/>
          <w:szCs w:val="24"/>
        </w:rPr>
        <w:t xml:space="preserve">used previously. </w:t>
      </w:r>
    </w:p>
    <w:p w14:paraId="7FA7C1EF" w14:textId="2C2820C8" w:rsidR="00EA14C5" w:rsidRDefault="00DF52D0" w:rsidP="00B878E3">
      <w:pPr>
        <w:pStyle w:val="ListParagraph"/>
        <w:numPr>
          <w:ilvl w:val="1"/>
          <w:numId w:val="3"/>
        </w:numPr>
        <w:spacing w:after="0"/>
        <w:rPr>
          <w:rFonts w:ascii="Arial" w:hAnsi="Arial" w:cs="Arial"/>
          <w:sz w:val="24"/>
          <w:szCs w:val="24"/>
        </w:rPr>
      </w:pPr>
      <w:r>
        <w:rPr>
          <w:rFonts w:ascii="Arial" w:hAnsi="Arial" w:cs="Arial"/>
          <w:sz w:val="24"/>
          <w:szCs w:val="24"/>
        </w:rPr>
        <w:t>Those port</w:t>
      </w:r>
      <w:r w:rsidR="00B878E3">
        <w:rPr>
          <w:rFonts w:ascii="Arial" w:hAnsi="Arial" w:cs="Arial"/>
          <w:sz w:val="24"/>
          <w:szCs w:val="24"/>
        </w:rPr>
        <w:t>f</w:t>
      </w:r>
      <w:r>
        <w:rPr>
          <w:rFonts w:ascii="Arial" w:hAnsi="Arial" w:cs="Arial"/>
          <w:sz w:val="24"/>
          <w:szCs w:val="24"/>
        </w:rPr>
        <w:t xml:space="preserve">olios contained </w:t>
      </w:r>
      <w:r w:rsidR="000B4EBF">
        <w:rPr>
          <w:rFonts w:ascii="Arial" w:hAnsi="Arial" w:cs="Arial"/>
          <w:sz w:val="24"/>
          <w:szCs w:val="24"/>
        </w:rPr>
        <w:t xml:space="preserve">evidence aligned with the 27 teaching competences set out in GTCNI’s </w:t>
      </w:r>
      <w:r w:rsidR="00B878E3">
        <w:rPr>
          <w:rFonts w:ascii="Arial" w:hAnsi="Arial" w:cs="Arial"/>
          <w:sz w:val="24"/>
          <w:szCs w:val="24"/>
        </w:rPr>
        <w:t>20</w:t>
      </w:r>
      <w:r w:rsidR="00F04688">
        <w:rPr>
          <w:rFonts w:ascii="Arial" w:hAnsi="Arial" w:cs="Arial"/>
          <w:sz w:val="24"/>
          <w:szCs w:val="24"/>
        </w:rPr>
        <w:t>07</w:t>
      </w:r>
      <w:r w:rsidR="00B878E3">
        <w:rPr>
          <w:rFonts w:ascii="Arial" w:hAnsi="Arial" w:cs="Arial"/>
          <w:sz w:val="24"/>
          <w:szCs w:val="24"/>
        </w:rPr>
        <w:t xml:space="preserve"> </w:t>
      </w:r>
      <w:r w:rsidR="000B4EBF">
        <w:rPr>
          <w:rFonts w:ascii="Arial" w:hAnsi="Arial" w:cs="Arial"/>
          <w:sz w:val="24"/>
          <w:szCs w:val="24"/>
        </w:rPr>
        <w:t xml:space="preserve">document </w:t>
      </w:r>
      <w:hyperlink r:id="rId8" w:history="1">
        <w:r w:rsidR="000B4EBF" w:rsidRPr="00B878E3">
          <w:rPr>
            <w:rStyle w:val="Hyperlink"/>
            <w:rFonts w:ascii="Arial" w:hAnsi="Arial" w:cs="Arial"/>
            <w:sz w:val="24"/>
            <w:szCs w:val="24"/>
          </w:rPr>
          <w:t>“Teaching: The Reflective Profession”</w:t>
        </w:r>
      </w:hyperlink>
      <w:r>
        <w:rPr>
          <w:rFonts w:ascii="Arial" w:hAnsi="Arial" w:cs="Arial"/>
          <w:sz w:val="24"/>
          <w:szCs w:val="24"/>
        </w:rPr>
        <w:t xml:space="preserve">. Subsequent </w:t>
      </w:r>
      <w:r w:rsidR="000B4EBF">
        <w:rPr>
          <w:rFonts w:ascii="Arial" w:hAnsi="Arial" w:cs="Arial"/>
          <w:sz w:val="24"/>
          <w:szCs w:val="24"/>
        </w:rPr>
        <w:t>work</w:t>
      </w:r>
      <w:r w:rsidR="00B878E3">
        <w:rPr>
          <w:rFonts w:ascii="Arial" w:hAnsi="Arial" w:cs="Arial"/>
          <w:sz w:val="24"/>
          <w:szCs w:val="24"/>
        </w:rPr>
        <w:t>,</w:t>
      </w:r>
      <w:r w:rsidR="000B4EBF">
        <w:rPr>
          <w:rFonts w:ascii="Arial" w:hAnsi="Arial" w:cs="Arial"/>
          <w:sz w:val="24"/>
          <w:szCs w:val="24"/>
        </w:rPr>
        <w:t xml:space="preserve"> under the auspices of </w:t>
      </w:r>
      <w:r>
        <w:rPr>
          <w:rFonts w:ascii="Arial" w:hAnsi="Arial" w:cs="Arial"/>
          <w:sz w:val="24"/>
          <w:szCs w:val="24"/>
        </w:rPr>
        <w:t xml:space="preserve">DE’s </w:t>
      </w:r>
      <w:r w:rsidR="000B4EBF">
        <w:rPr>
          <w:rFonts w:ascii="Arial" w:hAnsi="Arial" w:cs="Arial"/>
          <w:sz w:val="24"/>
          <w:szCs w:val="24"/>
        </w:rPr>
        <w:t xml:space="preserve">Learning Leaders </w:t>
      </w:r>
      <w:r>
        <w:rPr>
          <w:rFonts w:ascii="Arial" w:hAnsi="Arial" w:cs="Arial"/>
          <w:sz w:val="24"/>
          <w:szCs w:val="24"/>
        </w:rPr>
        <w:t xml:space="preserve">(LL) </w:t>
      </w:r>
      <w:r w:rsidR="000B4EBF">
        <w:rPr>
          <w:rFonts w:ascii="Arial" w:hAnsi="Arial" w:cs="Arial"/>
          <w:sz w:val="24"/>
          <w:szCs w:val="24"/>
        </w:rPr>
        <w:t>Strategy</w:t>
      </w:r>
      <w:r w:rsidR="00B878E3">
        <w:rPr>
          <w:rFonts w:ascii="Arial" w:hAnsi="Arial" w:cs="Arial"/>
          <w:sz w:val="24"/>
          <w:szCs w:val="24"/>
        </w:rPr>
        <w:t xml:space="preserve">, </w:t>
      </w:r>
      <w:r>
        <w:rPr>
          <w:rFonts w:ascii="Arial" w:hAnsi="Arial" w:cs="Arial"/>
          <w:sz w:val="24"/>
          <w:szCs w:val="24"/>
        </w:rPr>
        <w:t>ha</w:t>
      </w:r>
      <w:r w:rsidR="00B878E3">
        <w:rPr>
          <w:rFonts w:ascii="Arial" w:hAnsi="Arial" w:cs="Arial"/>
          <w:sz w:val="24"/>
          <w:szCs w:val="24"/>
        </w:rPr>
        <w:t>s</w:t>
      </w:r>
      <w:r>
        <w:rPr>
          <w:rFonts w:ascii="Arial" w:hAnsi="Arial" w:cs="Arial"/>
          <w:sz w:val="24"/>
          <w:szCs w:val="24"/>
        </w:rPr>
        <w:t xml:space="preserve"> developed </w:t>
      </w:r>
      <w:r w:rsidR="00B878E3">
        <w:rPr>
          <w:rFonts w:ascii="Arial" w:hAnsi="Arial" w:cs="Arial"/>
          <w:sz w:val="24"/>
          <w:szCs w:val="24"/>
        </w:rPr>
        <w:t xml:space="preserve">and recommended the transition to </w:t>
      </w:r>
      <w:r w:rsidR="000B4EBF">
        <w:rPr>
          <w:rFonts w:ascii="Arial" w:hAnsi="Arial" w:cs="Arial"/>
          <w:sz w:val="24"/>
          <w:szCs w:val="24"/>
        </w:rPr>
        <w:t xml:space="preserve">a reduced set of </w:t>
      </w:r>
      <w:r w:rsidR="00F04688">
        <w:rPr>
          <w:rFonts w:ascii="Arial" w:hAnsi="Arial" w:cs="Arial"/>
          <w:sz w:val="24"/>
          <w:szCs w:val="24"/>
        </w:rPr>
        <w:t xml:space="preserve">twelve </w:t>
      </w:r>
      <w:r>
        <w:rPr>
          <w:rFonts w:ascii="Arial" w:hAnsi="Arial" w:cs="Arial"/>
          <w:sz w:val="24"/>
          <w:szCs w:val="24"/>
        </w:rPr>
        <w:t>LL</w:t>
      </w:r>
      <w:r w:rsidR="000B4EBF">
        <w:rPr>
          <w:rFonts w:ascii="Arial" w:hAnsi="Arial" w:cs="Arial"/>
          <w:sz w:val="24"/>
          <w:szCs w:val="24"/>
        </w:rPr>
        <w:t xml:space="preserve"> aligned competences</w:t>
      </w:r>
      <w:r w:rsidR="00B878E3">
        <w:rPr>
          <w:rFonts w:ascii="Arial" w:hAnsi="Arial" w:cs="Arial"/>
          <w:sz w:val="24"/>
          <w:szCs w:val="24"/>
        </w:rPr>
        <w:t xml:space="preserve">. These </w:t>
      </w:r>
      <w:r>
        <w:rPr>
          <w:rFonts w:ascii="Arial" w:hAnsi="Arial" w:cs="Arial"/>
          <w:sz w:val="24"/>
          <w:szCs w:val="24"/>
        </w:rPr>
        <w:t xml:space="preserve">were </w:t>
      </w:r>
      <w:r w:rsidR="000B4EBF">
        <w:rPr>
          <w:rFonts w:ascii="Arial" w:hAnsi="Arial" w:cs="Arial"/>
          <w:sz w:val="24"/>
          <w:szCs w:val="24"/>
        </w:rPr>
        <w:t xml:space="preserve">presented </w:t>
      </w:r>
      <w:r w:rsidR="00B878E3">
        <w:rPr>
          <w:rFonts w:ascii="Arial" w:hAnsi="Arial" w:cs="Arial"/>
          <w:sz w:val="24"/>
          <w:szCs w:val="24"/>
        </w:rPr>
        <w:t xml:space="preserve">to </w:t>
      </w:r>
      <w:r w:rsidR="000B4EBF">
        <w:rPr>
          <w:rFonts w:ascii="Arial" w:hAnsi="Arial" w:cs="Arial"/>
          <w:sz w:val="24"/>
          <w:szCs w:val="24"/>
        </w:rPr>
        <w:t>and agreed by GTCNI’s P</w:t>
      </w:r>
      <w:r w:rsidR="00B878E3">
        <w:rPr>
          <w:rFonts w:ascii="Arial" w:hAnsi="Arial" w:cs="Arial"/>
          <w:sz w:val="24"/>
          <w:szCs w:val="24"/>
        </w:rPr>
        <w:t xml:space="preserve">olicy </w:t>
      </w:r>
      <w:r w:rsidR="000B4EBF">
        <w:rPr>
          <w:rFonts w:ascii="Arial" w:hAnsi="Arial" w:cs="Arial"/>
          <w:sz w:val="24"/>
          <w:szCs w:val="24"/>
        </w:rPr>
        <w:t>R</w:t>
      </w:r>
      <w:r w:rsidR="00B878E3">
        <w:rPr>
          <w:rFonts w:ascii="Arial" w:hAnsi="Arial" w:cs="Arial"/>
          <w:sz w:val="24"/>
          <w:szCs w:val="24"/>
        </w:rPr>
        <w:t xml:space="preserve">egistration and Regulation </w:t>
      </w:r>
      <w:r w:rsidR="000B4EBF">
        <w:rPr>
          <w:rFonts w:ascii="Arial" w:hAnsi="Arial" w:cs="Arial"/>
          <w:sz w:val="24"/>
          <w:szCs w:val="24"/>
        </w:rPr>
        <w:t xml:space="preserve">Committee but </w:t>
      </w:r>
      <w:r w:rsidR="00B878E3">
        <w:rPr>
          <w:rFonts w:ascii="Arial" w:hAnsi="Arial" w:cs="Arial"/>
          <w:sz w:val="24"/>
          <w:szCs w:val="24"/>
        </w:rPr>
        <w:t xml:space="preserve">were </w:t>
      </w:r>
      <w:r w:rsidR="000B4EBF">
        <w:rPr>
          <w:rFonts w:ascii="Arial" w:hAnsi="Arial" w:cs="Arial"/>
          <w:sz w:val="24"/>
          <w:szCs w:val="24"/>
        </w:rPr>
        <w:t xml:space="preserve">not </w:t>
      </w:r>
      <w:r w:rsidR="00B878E3">
        <w:rPr>
          <w:rFonts w:ascii="Arial" w:hAnsi="Arial" w:cs="Arial"/>
          <w:sz w:val="24"/>
          <w:szCs w:val="24"/>
        </w:rPr>
        <w:t xml:space="preserve">agreed by </w:t>
      </w:r>
      <w:r w:rsidR="000B4EBF">
        <w:rPr>
          <w:rFonts w:ascii="Arial" w:hAnsi="Arial" w:cs="Arial"/>
          <w:sz w:val="24"/>
          <w:szCs w:val="24"/>
        </w:rPr>
        <w:t xml:space="preserve">the full </w:t>
      </w:r>
      <w:r w:rsidR="00B878E3">
        <w:rPr>
          <w:rFonts w:ascii="Arial" w:hAnsi="Arial" w:cs="Arial"/>
          <w:sz w:val="24"/>
          <w:szCs w:val="24"/>
        </w:rPr>
        <w:t xml:space="preserve">GTCNI </w:t>
      </w:r>
      <w:r w:rsidR="000B4EBF">
        <w:rPr>
          <w:rFonts w:ascii="Arial" w:hAnsi="Arial" w:cs="Arial"/>
          <w:sz w:val="24"/>
          <w:szCs w:val="24"/>
        </w:rPr>
        <w:t xml:space="preserve">Council prior to </w:t>
      </w:r>
      <w:r w:rsidR="00B878E3">
        <w:rPr>
          <w:rFonts w:ascii="Arial" w:hAnsi="Arial" w:cs="Arial"/>
          <w:sz w:val="24"/>
          <w:szCs w:val="24"/>
        </w:rPr>
        <w:t xml:space="preserve">it being stood down on 13 </w:t>
      </w:r>
      <w:r w:rsidR="00C674E9">
        <w:rPr>
          <w:rFonts w:ascii="Arial" w:hAnsi="Arial" w:cs="Arial"/>
          <w:sz w:val="24"/>
          <w:szCs w:val="24"/>
        </w:rPr>
        <w:t>December 2021</w:t>
      </w:r>
      <w:r w:rsidR="000B4EBF">
        <w:rPr>
          <w:rFonts w:ascii="Arial" w:hAnsi="Arial" w:cs="Arial"/>
          <w:sz w:val="24"/>
          <w:szCs w:val="24"/>
        </w:rPr>
        <w:t xml:space="preserve">. </w:t>
      </w:r>
      <w:r w:rsidR="000B4EBF">
        <w:rPr>
          <w:rFonts w:ascii="Arial" w:hAnsi="Arial" w:cs="Arial"/>
          <w:sz w:val="24"/>
          <w:szCs w:val="24"/>
        </w:rPr>
        <w:br/>
      </w:r>
    </w:p>
    <w:p w14:paraId="5D07A953" w14:textId="07DD210C" w:rsidR="00D2200F" w:rsidRDefault="000B4EBF" w:rsidP="004B2A99">
      <w:pPr>
        <w:pStyle w:val="ListParagraph"/>
        <w:numPr>
          <w:ilvl w:val="0"/>
          <w:numId w:val="3"/>
        </w:numPr>
        <w:spacing w:after="0"/>
        <w:ind w:left="284"/>
        <w:rPr>
          <w:rFonts w:ascii="Arial" w:hAnsi="Arial" w:cs="Arial"/>
          <w:sz w:val="24"/>
          <w:szCs w:val="24"/>
        </w:rPr>
      </w:pPr>
      <w:r w:rsidRPr="00C674E9">
        <w:rPr>
          <w:rFonts w:ascii="Arial" w:hAnsi="Arial" w:cs="Arial"/>
          <w:sz w:val="24"/>
          <w:szCs w:val="24"/>
        </w:rPr>
        <w:t xml:space="preserve">Additionally, it has become apparent that aspects of Circular 2010/03 are dated and </w:t>
      </w:r>
      <w:r w:rsidR="00B878E3">
        <w:rPr>
          <w:rFonts w:ascii="Arial" w:hAnsi="Arial" w:cs="Arial"/>
          <w:sz w:val="24"/>
          <w:szCs w:val="24"/>
        </w:rPr>
        <w:t xml:space="preserve">may </w:t>
      </w:r>
      <w:r w:rsidRPr="00C674E9">
        <w:rPr>
          <w:rFonts w:ascii="Arial" w:hAnsi="Arial" w:cs="Arial"/>
          <w:sz w:val="24"/>
          <w:szCs w:val="24"/>
        </w:rPr>
        <w:t xml:space="preserve">reflect a rigidity (in areas such as minimum entry requirements) which </w:t>
      </w:r>
      <w:r w:rsidR="00B878E3">
        <w:rPr>
          <w:rFonts w:ascii="Arial" w:hAnsi="Arial" w:cs="Arial"/>
          <w:sz w:val="24"/>
          <w:szCs w:val="24"/>
        </w:rPr>
        <w:t xml:space="preserve">may now only serve to create </w:t>
      </w:r>
      <w:r w:rsidR="00705B37">
        <w:rPr>
          <w:rFonts w:ascii="Arial" w:hAnsi="Arial" w:cs="Arial"/>
          <w:sz w:val="24"/>
          <w:szCs w:val="24"/>
        </w:rPr>
        <w:t xml:space="preserve">unnecessary </w:t>
      </w:r>
      <w:r w:rsidR="00B878E3">
        <w:rPr>
          <w:rFonts w:ascii="Arial" w:hAnsi="Arial" w:cs="Arial"/>
          <w:sz w:val="24"/>
          <w:szCs w:val="24"/>
        </w:rPr>
        <w:t xml:space="preserve">barriers </w:t>
      </w:r>
      <w:r w:rsidR="005109F0" w:rsidRPr="00C674E9">
        <w:rPr>
          <w:rFonts w:ascii="Arial" w:hAnsi="Arial" w:cs="Arial"/>
          <w:sz w:val="24"/>
          <w:szCs w:val="24"/>
        </w:rPr>
        <w:t xml:space="preserve">to </w:t>
      </w:r>
      <w:r w:rsidR="00B878E3">
        <w:rPr>
          <w:rFonts w:ascii="Arial" w:hAnsi="Arial" w:cs="Arial"/>
          <w:sz w:val="24"/>
          <w:szCs w:val="24"/>
        </w:rPr>
        <w:t xml:space="preserve">entry for </w:t>
      </w:r>
      <w:r w:rsidR="00D2200F">
        <w:rPr>
          <w:rFonts w:ascii="Arial" w:hAnsi="Arial" w:cs="Arial"/>
          <w:sz w:val="24"/>
          <w:szCs w:val="24"/>
        </w:rPr>
        <w:t xml:space="preserve">students </w:t>
      </w:r>
      <w:r w:rsidR="005109F0" w:rsidRPr="00C674E9">
        <w:rPr>
          <w:rFonts w:ascii="Arial" w:hAnsi="Arial" w:cs="Arial"/>
          <w:sz w:val="24"/>
          <w:szCs w:val="24"/>
        </w:rPr>
        <w:t xml:space="preserve">aspiring </w:t>
      </w:r>
      <w:r w:rsidR="00D2200F">
        <w:rPr>
          <w:rFonts w:ascii="Arial" w:hAnsi="Arial" w:cs="Arial"/>
          <w:sz w:val="24"/>
          <w:szCs w:val="24"/>
        </w:rPr>
        <w:t xml:space="preserve">to </w:t>
      </w:r>
      <w:r w:rsidR="005109F0" w:rsidRPr="00C674E9">
        <w:rPr>
          <w:rFonts w:ascii="Arial" w:hAnsi="Arial" w:cs="Arial"/>
          <w:sz w:val="24"/>
          <w:szCs w:val="24"/>
        </w:rPr>
        <w:t>teach</w:t>
      </w:r>
      <w:r w:rsidR="00D2200F">
        <w:rPr>
          <w:rFonts w:ascii="Arial" w:hAnsi="Arial" w:cs="Arial"/>
          <w:sz w:val="24"/>
          <w:szCs w:val="24"/>
        </w:rPr>
        <w:t xml:space="preserve">. </w:t>
      </w:r>
    </w:p>
    <w:p w14:paraId="7D5A5F71" w14:textId="77777777" w:rsidR="00D2200F" w:rsidRDefault="00D2200F" w:rsidP="00D2200F">
      <w:pPr>
        <w:pStyle w:val="ListParagraph"/>
        <w:spacing w:after="0"/>
        <w:ind w:left="284"/>
        <w:rPr>
          <w:rFonts w:ascii="Arial" w:hAnsi="Arial" w:cs="Arial"/>
          <w:sz w:val="24"/>
          <w:szCs w:val="24"/>
        </w:rPr>
      </w:pPr>
    </w:p>
    <w:p w14:paraId="2513707F" w14:textId="78A54FA5" w:rsidR="004B2A99" w:rsidRDefault="00AE2ED7" w:rsidP="004B2A99">
      <w:pPr>
        <w:pStyle w:val="ListParagraph"/>
        <w:numPr>
          <w:ilvl w:val="0"/>
          <w:numId w:val="3"/>
        </w:numPr>
        <w:spacing w:after="0"/>
        <w:ind w:left="284"/>
        <w:rPr>
          <w:rFonts w:ascii="Arial" w:hAnsi="Arial" w:cs="Arial"/>
          <w:sz w:val="24"/>
          <w:szCs w:val="24"/>
        </w:rPr>
      </w:pPr>
      <w:r>
        <w:rPr>
          <w:rFonts w:ascii="Arial" w:hAnsi="Arial" w:cs="Arial"/>
          <w:sz w:val="24"/>
          <w:szCs w:val="24"/>
        </w:rPr>
        <w:lastRenderedPageBreak/>
        <w:t xml:space="preserve">Similarly, GTCNI’s current qualifications rules set out qualifications accepted for </w:t>
      </w:r>
      <w:r w:rsidR="00F04688">
        <w:rPr>
          <w:rFonts w:ascii="Arial" w:hAnsi="Arial" w:cs="Arial"/>
          <w:sz w:val="24"/>
          <w:szCs w:val="24"/>
        </w:rPr>
        <w:t>r</w:t>
      </w:r>
      <w:r>
        <w:rPr>
          <w:rFonts w:ascii="Arial" w:hAnsi="Arial" w:cs="Arial"/>
          <w:sz w:val="24"/>
          <w:szCs w:val="24"/>
        </w:rPr>
        <w:t>egistration purposes</w:t>
      </w:r>
      <w:r w:rsidR="00F04688">
        <w:rPr>
          <w:rFonts w:ascii="Arial" w:hAnsi="Arial" w:cs="Arial"/>
          <w:sz w:val="24"/>
          <w:szCs w:val="24"/>
        </w:rPr>
        <w:t>. These</w:t>
      </w:r>
      <w:r>
        <w:rPr>
          <w:rFonts w:ascii="Arial" w:hAnsi="Arial" w:cs="Arial"/>
          <w:sz w:val="24"/>
          <w:szCs w:val="24"/>
        </w:rPr>
        <w:t xml:space="preserve"> have been identified as unnecessarily inflexible in their inability </w:t>
      </w:r>
      <w:r w:rsidR="00C674E9" w:rsidRPr="00C674E9">
        <w:rPr>
          <w:rFonts w:ascii="Arial" w:hAnsi="Arial" w:cs="Arial"/>
          <w:sz w:val="24"/>
          <w:szCs w:val="24"/>
        </w:rPr>
        <w:t xml:space="preserve">to </w:t>
      </w:r>
      <w:r>
        <w:rPr>
          <w:rFonts w:ascii="Arial" w:hAnsi="Arial" w:cs="Arial"/>
          <w:sz w:val="24"/>
          <w:szCs w:val="24"/>
        </w:rPr>
        <w:t xml:space="preserve">take any account of an applicant’s successful </w:t>
      </w:r>
      <w:r w:rsidR="00C674E9" w:rsidRPr="00C674E9">
        <w:rPr>
          <w:rFonts w:ascii="Arial" w:hAnsi="Arial" w:cs="Arial"/>
          <w:sz w:val="24"/>
          <w:szCs w:val="24"/>
        </w:rPr>
        <w:t xml:space="preserve">teaching experience (or other compensatory evidence) </w:t>
      </w:r>
      <w:r>
        <w:rPr>
          <w:rFonts w:ascii="Arial" w:hAnsi="Arial" w:cs="Arial"/>
          <w:sz w:val="24"/>
          <w:szCs w:val="24"/>
        </w:rPr>
        <w:t xml:space="preserve">when assessing a candidate’s application for </w:t>
      </w:r>
      <w:r w:rsidR="00F04688">
        <w:rPr>
          <w:rFonts w:ascii="Arial" w:hAnsi="Arial" w:cs="Arial"/>
          <w:sz w:val="24"/>
          <w:szCs w:val="24"/>
        </w:rPr>
        <w:t>r</w:t>
      </w:r>
      <w:r>
        <w:rPr>
          <w:rFonts w:ascii="Arial" w:hAnsi="Arial" w:cs="Arial"/>
          <w:sz w:val="24"/>
          <w:szCs w:val="24"/>
        </w:rPr>
        <w:t>egistration</w:t>
      </w:r>
      <w:r w:rsidR="00C674E9" w:rsidRPr="00C674E9">
        <w:rPr>
          <w:rFonts w:ascii="Arial" w:hAnsi="Arial" w:cs="Arial"/>
          <w:sz w:val="24"/>
          <w:szCs w:val="24"/>
        </w:rPr>
        <w:t>.</w:t>
      </w:r>
      <w:r>
        <w:rPr>
          <w:rFonts w:ascii="Arial" w:hAnsi="Arial" w:cs="Arial"/>
          <w:sz w:val="24"/>
          <w:szCs w:val="24"/>
        </w:rPr>
        <w:t xml:space="preserve"> In this, it is arguably creating barriers to entry into the profession, particularly for teachers who have been educated outside of the </w:t>
      </w:r>
      <w:r w:rsidR="003E1343">
        <w:rPr>
          <w:rFonts w:ascii="Arial" w:hAnsi="Arial" w:cs="Arial"/>
          <w:sz w:val="24"/>
          <w:szCs w:val="24"/>
        </w:rPr>
        <w:t>United Kingdom (</w:t>
      </w:r>
      <w:r>
        <w:rPr>
          <w:rFonts w:ascii="Arial" w:hAnsi="Arial" w:cs="Arial"/>
          <w:sz w:val="24"/>
          <w:szCs w:val="24"/>
        </w:rPr>
        <w:t>UK</w:t>
      </w:r>
      <w:r w:rsidR="003E1343">
        <w:rPr>
          <w:rFonts w:ascii="Arial" w:hAnsi="Arial" w:cs="Arial"/>
          <w:sz w:val="24"/>
          <w:szCs w:val="24"/>
        </w:rPr>
        <w:t>)</w:t>
      </w:r>
      <w:r>
        <w:rPr>
          <w:rFonts w:ascii="Arial" w:hAnsi="Arial" w:cs="Arial"/>
          <w:sz w:val="24"/>
          <w:szCs w:val="24"/>
        </w:rPr>
        <w:t xml:space="preserve"> or </w:t>
      </w:r>
      <w:r w:rsidR="003E1343">
        <w:rPr>
          <w:rFonts w:ascii="Arial" w:hAnsi="Arial" w:cs="Arial"/>
          <w:sz w:val="24"/>
          <w:szCs w:val="24"/>
        </w:rPr>
        <w:t>Republic of Ireland (</w:t>
      </w:r>
      <w:proofErr w:type="spellStart"/>
      <w:r>
        <w:rPr>
          <w:rFonts w:ascii="Arial" w:hAnsi="Arial" w:cs="Arial"/>
          <w:sz w:val="24"/>
          <w:szCs w:val="24"/>
        </w:rPr>
        <w:t>R</w:t>
      </w:r>
      <w:r w:rsidR="003E1343">
        <w:rPr>
          <w:rFonts w:ascii="Arial" w:hAnsi="Arial" w:cs="Arial"/>
          <w:sz w:val="24"/>
          <w:szCs w:val="24"/>
        </w:rPr>
        <w:t>o</w:t>
      </w:r>
      <w:r>
        <w:rPr>
          <w:rFonts w:ascii="Arial" w:hAnsi="Arial" w:cs="Arial"/>
          <w:sz w:val="24"/>
          <w:szCs w:val="24"/>
        </w:rPr>
        <w:t>I</w:t>
      </w:r>
      <w:proofErr w:type="spellEnd"/>
      <w:r w:rsidR="003E1343">
        <w:rPr>
          <w:rFonts w:ascii="Arial" w:hAnsi="Arial" w:cs="Arial"/>
          <w:sz w:val="24"/>
          <w:szCs w:val="24"/>
        </w:rPr>
        <w:t>)</w:t>
      </w:r>
      <w:r>
        <w:rPr>
          <w:rFonts w:ascii="Arial" w:hAnsi="Arial" w:cs="Arial"/>
          <w:sz w:val="24"/>
          <w:szCs w:val="24"/>
        </w:rPr>
        <w:t>.</w:t>
      </w:r>
    </w:p>
    <w:p w14:paraId="1EDE13DC" w14:textId="77777777" w:rsidR="00C674E9" w:rsidRPr="00C674E9" w:rsidRDefault="00C674E9" w:rsidP="00C674E9">
      <w:pPr>
        <w:pStyle w:val="ListParagraph"/>
        <w:spacing w:after="0"/>
        <w:ind w:left="284"/>
        <w:rPr>
          <w:rFonts w:ascii="Arial" w:hAnsi="Arial" w:cs="Arial"/>
          <w:sz w:val="24"/>
          <w:szCs w:val="24"/>
        </w:rPr>
      </w:pPr>
    </w:p>
    <w:p w14:paraId="75D36CA2" w14:textId="44E33465" w:rsidR="00DB0ED8" w:rsidRDefault="004B2A99" w:rsidP="005109F0">
      <w:pPr>
        <w:pStyle w:val="ListParagraph"/>
        <w:numPr>
          <w:ilvl w:val="0"/>
          <w:numId w:val="3"/>
        </w:numPr>
        <w:spacing w:after="0"/>
        <w:ind w:left="284" w:hanging="426"/>
        <w:rPr>
          <w:rFonts w:ascii="Arial" w:hAnsi="Arial" w:cs="Arial"/>
          <w:sz w:val="24"/>
          <w:szCs w:val="24"/>
        </w:rPr>
      </w:pPr>
      <w:r>
        <w:rPr>
          <w:rFonts w:ascii="Arial" w:hAnsi="Arial" w:cs="Arial"/>
          <w:sz w:val="24"/>
          <w:szCs w:val="24"/>
        </w:rPr>
        <w:t xml:space="preserve">In </w:t>
      </w:r>
      <w:r w:rsidR="005109F0">
        <w:rPr>
          <w:rFonts w:ascii="Arial" w:hAnsi="Arial" w:cs="Arial"/>
          <w:sz w:val="24"/>
          <w:szCs w:val="24"/>
        </w:rPr>
        <w:t>this context</w:t>
      </w:r>
      <w:r w:rsidR="001A1D17">
        <w:rPr>
          <w:rFonts w:ascii="Arial" w:hAnsi="Arial" w:cs="Arial"/>
          <w:sz w:val="24"/>
          <w:szCs w:val="24"/>
        </w:rPr>
        <w:t>, the Department</w:t>
      </w:r>
      <w:r w:rsidR="005109F0">
        <w:rPr>
          <w:rFonts w:ascii="Arial" w:hAnsi="Arial" w:cs="Arial"/>
          <w:sz w:val="24"/>
          <w:szCs w:val="24"/>
        </w:rPr>
        <w:t xml:space="preserve"> </w:t>
      </w:r>
      <w:r w:rsidR="00763438">
        <w:rPr>
          <w:rFonts w:ascii="Arial" w:hAnsi="Arial" w:cs="Arial"/>
          <w:sz w:val="24"/>
          <w:szCs w:val="24"/>
        </w:rPr>
        <w:t>accept</w:t>
      </w:r>
      <w:r w:rsidR="001A1D17">
        <w:rPr>
          <w:rFonts w:ascii="Arial" w:hAnsi="Arial" w:cs="Arial"/>
          <w:sz w:val="24"/>
          <w:szCs w:val="24"/>
        </w:rPr>
        <w:t>s</w:t>
      </w:r>
      <w:r w:rsidR="00763438">
        <w:rPr>
          <w:rFonts w:ascii="Arial" w:hAnsi="Arial" w:cs="Arial"/>
          <w:sz w:val="24"/>
          <w:szCs w:val="24"/>
        </w:rPr>
        <w:t xml:space="preserve"> there is a </w:t>
      </w:r>
      <w:r w:rsidR="005109F0">
        <w:rPr>
          <w:rFonts w:ascii="Arial" w:hAnsi="Arial" w:cs="Arial"/>
          <w:sz w:val="24"/>
          <w:szCs w:val="24"/>
        </w:rPr>
        <w:t>need to revise DE Circular 2010/03</w:t>
      </w:r>
      <w:r w:rsidR="00DB0ED8">
        <w:rPr>
          <w:rFonts w:ascii="Arial" w:hAnsi="Arial" w:cs="Arial"/>
          <w:sz w:val="24"/>
          <w:szCs w:val="24"/>
        </w:rPr>
        <w:t xml:space="preserve">, to review GTCNI’s qualifications rules and consider how </w:t>
      </w:r>
      <w:r w:rsidR="001A1D17">
        <w:rPr>
          <w:rFonts w:ascii="Arial" w:hAnsi="Arial" w:cs="Arial"/>
          <w:sz w:val="24"/>
          <w:szCs w:val="24"/>
        </w:rPr>
        <w:t xml:space="preserve">the </w:t>
      </w:r>
      <w:r w:rsidR="00DB0ED8">
        <w:rPr>
          <w:rFonts w:ascii="Arial" w:hAnsi="Arial" w:cs="Arial"/>
          <w:sz w:val="24"/>
          <w:szCs w:val="24"/>
        </w:rPr>
        <w:t xml:space="preserve">new LL teaching competences </w:t>
      </w:r>
      <w:r w:rsidR="001A1D17">
        <w:rPr>
          <w:rFonts w:ascii="Arial" w:hAnsi="Arial" w:cs="Arial"/>
          <w:sz w:val="24"/>
          <w:szCs w:val="24"/>
        </w:rPr>
        <w:t xml:space="preserve">might be implemented </w:t>
      </w:r>
      <w:r w:rsidR="00DB0ED8">
        <w:rPr>
          <w:rFonts w:ascii="Arial" w:hAnsi="Arial" w:cs="Arial"/>
          <w:sz w:val="24"/>
          <w:szCs w:val="24"/>
        </w:rPr>
        <w:t xml:space="preserve">in the absence of a GTCNI Council to endorse these changes. Any of these changes would typically require consultation with the teaching workforce and NI’s Teaching Unions, </w:t>
      </w:r>
      <w:r w:rsidR="00230EBD">
        <w:rPr>
          <w:rFonts w:ascii="Arial" w:hAnsi="Arial" w:cs="Arial"/>
          <w:sz w:val="24"/>
          <w:szCs w:val="24"/>
        </w:rPr>
        <w:t xml:space="preserve">which in itself is </w:t>
      </w:r>
      <w:r w:rsidR="00DB0ED8">
        <w:rPr>
          <w:rFonts w:ascii="Arial" w:hAnsi="Arial" w:cs="Arial"/>
          <w:sz w:val="24"/>
          <w:szCs w:val="24"/>
        </w:rPr>
        <w:t xml:space="preserve">problematic </w:t>
      </w:r>
      <w:r w:rsidR="00800F44">
        <w:rPr>
          <w:rFonts w:ascii="Arial" w:hAnsi="Arial" w:cs="Arial"/>
          <w:sz w:val="24"/>
          <w:szCs w:val="24"/>
        </w:rPr>
        <w:t>given</w:t>
      </w:r>
      <w:r w:rsidR="00DB0ED8">
        <w:rPr>
          <w:rFonts w:ascii="Arial" w:hAnsi="Arial" w:cs="Arial"/>
          <w:sz w:val="24"/>
          <w:szCs w:val="24"/>
        </w:rPr>
        <w:t xml:space="preserve"> the current state of industrial relations.</w:t>
      </w:r>
    </w:p>
    <w:p w14:paraId="4AFB8899" w14:textId="77777777" w:rsidR="00DB0ED8" w:rsidRPr="00DB0ED8" w:rsidRDefault="00DB0ED8" w:rsidP="00DB0ED8">
      <w:pPr>
        <w:pStyle w:val="ListParagraph"/>
        <w:rPr>
          <w:rFonts w:ascii="Arial" w:hAnsi="Arial" w:cs="Arial"/>
          <w:sz w:val="24"/>
          <w:szCs w:val="24"/>
        </w:rPr>
      </w:pPr>
    </w:p>
    <w:p w14:paraId="790DF4B5" w14:textId="25743A0E" w:rsidR="005109F0" w:rsidRDefault="00DB0ED8" w:rsidP="005109F0">
      <w:pPr>
        <w:pStyle w:val="ListParagraph"/>
        <w:numPr>
          <w:ilvl w:val="0"/>
          <w:numId w:val="3"/>
        </w:numPr>
        <w:spacing w:after="0"/>
        <w:ind w:left="284" w:hanging="426"/>
        <w:rPr>
          <w:rFonts w:ascii="Arial" w:hAnsi="Arial" w:cs="Arial"/>
          <w:sz w:val="24"/>
          <w:szCs w:val="24"/>
        </w:rPr>
      </w:pPr>
      <w:r>
        <w:rPr>
          <w:rFonts w:ascii="Arial" w:hAnsi="Arial" w:cs="Arial"/>
          <w:sz w:val="24"/>
          <w:szCs w:val="24"/>
        </w:rPr>
        <w:t>Nonetheless</w:t>
      </w:r>
      <w:r w:rsidR="005109F0">
        <w:rPr>
          <w:rFonts w:ascii="Arial" w:hAnsi="Arial" w:cs="Arial"/>
          <w:sz w:val="24"/>
          <w:szCs w:val="24"/>
        </w:rPr>
        <w:t xml:space="preserve">, </w:t>
      </w:r>
      <w:r w:rsidR="00D27455">
        <w:rPr>
          <w:rFonts w:ascii="Arial" w:hAnsi="Arial" w:cs="Arial"/>
          <w:sz w:val="24"/>
          <w:szCs w:val="24"/>
        </w:rPr>
        <w:t xml:space="preserve">the Department considers </w:t>
      </w:r>
      <w:r w:rsidR="00763438">
        <w:rPr>
          <w:rFonts w:ascii="Arial" w:hAnsi="Arial" w:cs="Arial"/>
          <w:sz w:val="24"/>
          <w:szCs w:val="24"/>
        </w:rPr>
        <w:t xml:space="preserve">there is a </w:t>
      </w:r>
      <w:r w:rsidR="005109F0">
        <w:rPr>
          <w:rFonts w:ascii="Arial" w:hAnsi="Arial" w:cs="Arial"/>
          <w:sz w:val="24"/>
          <w:szCs w:val="24"/>
        </w:rPr>
        <w:t>pressing</w:t>
      </w:r>
      <w:r w:rsidR="00763438">
        <w:rPr>
          <w:rFonts w:ascii="Arial" w:hAnsi="Arial" w:cs="Arial"/>
          <w:sz w:val="24"/>
          <w:szCs w:val="24"/>
        </w:rPr>
        <w:t xml:space="preserve"> need</w:t>
      </w:r>
      <w:r w:rsidR="005109F0">
        <w:rPr>
          <w:rFonts w:ascii="Arial" w:hAnsi="Arial" w:cs="Arial"/>
          <w:sz w:val="24"/>
          <w:szCs w:val="24"/>
        </w:rPr>
        <w:t xml:space="preserve"> to determine what options are available</w:t>
      </w:r>
      <w:r w:rsidR="00800F44">
        <w:rPr>
          <w:rFonts w:ascii="Arial" w:hAnsi="Arial" w:cs="Arial"/>
          <w:sz w:val="24"/>
          <w:szCs w:val="24"/>
        </w:rPr>
        <w:t xml:space="preserve"> to facilitate some form of reaccreditation process</w:t>
      </w:r>
      <w:r w:rsidR="00230EBD">
        <w:rPr>
          <w:rFonts w:ascii="Arial" w:hAnsi="Arial" w:cs="Arial"/>
          <w:sz w:val="24"/>
          <w:szCs w:val="24"/>
        </w:rPr>
        <w:t>. This is</w:t>
      </w:r>
      <w:r w:rsidR="005109F0">
        <w:rPr>
          <w:rFonts w:ascii="Arial" w:hAnsi="Arial" w:cs="Arial"/>
          <w:sz w:val="24"/>
          <w:szCs w:val="24"/>
        </w:rPr>
        <w:t xml:space="preserve"> to avoid </w:t>
      </w:r>
      <w:r w:rsidR="00F27E26">
        <w:rPr>
          <w:rFonts w:ascii="Arial" w:hAnsi="Arial" w:cs="Arial"/>
          <w:sz w:val="24"/>
          <w:szCs w:val="24"/>
        </w:rPr>
        <w:t xml:space="preserve">any potential for </w:t>
      </w:r>
      <w:r w:rsidR="00D27455">
        <w:rPr>
          <w:rFonts w:ascii="Arial" w:hAnsi="Arial" w:cs="Arial"/>
          <w:sz w:val="24"/>
          <w:szCs w:val="24"/>
        </w:rPr>
        <w:t xml:space="preserve">criticism </w:t>
      </w:r>
      <w:r w:rsidR="001A1D17">
        <w:rPr>
          <w:rFonts w:ascii="Arial" w:hAnsi="Arial" w:cs="Arial"/>
          <w:sz w:val="24"/>
          <w:szCs w:val="24"/>
        </w:rPr>
        <w:t>for</w:t>
      </w:r>
      <w:r w:rsidR="00D27455">
        <w:rPr>
          <w:rFonts w:ascii="Arial" w:hAnsi="Arial" w:cs="Arial"/>
          <w:sz w:val="24"/>
          <w:szCs w:val="24"/>
        </w:rPr>
        <w:t xml:space="preserve"> permitt</w:t>
      </w:r>
      <w:r w:rsidR="001A1D17">
        <w:rPr>
          <w:rFonts w:ascii="Arial" w:hAnsi="Arial" w:cs="Arial"/>
          <w:sz w:val="24"/>
          <w:szCs w:val="24"/>
        </w:rPr>
        <w:t>ing</w:t>
      </w:r>
      <w:r w:rsidR="00D27455">
        <w:rPr>
          <w:rFonts w:ascii="Arial" w:hAnsi="Arial" w:cs="Arial"/>
          <w:sz w:val="24"/>
          <w:szCs w:val="24"/>
        </w:rPr>
        <w:t xml:space="preserve"> </w:t>
      </w:r>
      <w:r w:rsidR="00C674E9">
        <w:rPr>
          <w:rFonts w:ascii="Arial" w:hAnsi="Arial" w:cs="Arial"/>
          <w:sz w:val="24"/>
          <w:szCs w:val="24"/>
        </w:rPr>
        <w:t xml:space="preserve">current </w:t>
      </w:r>
      <w:r w:rsidR="005109F0">
        <w:rPr>
          <w:rFonts w:ascii="Arial" w:hAnsi="Arial" w:cs="Arial"/>
          <w:sz w:val="24"/>
          <w:szCs w:val="24"/>
        </w:rPr>
        <w:t xml:space="preserve">course accreditations </w:t>
      </w:r>
      <w:r w:rsidR="00D27455">
        <w:rPr>
          <w:rFonts w:ascii="Arial" w:hAnsi="Arial" w:cs="Arial"/>
          <w:sz w:val="24"/>
          <w:szCs w:val="24"/>
        </w:rPr>
        <w:t xml:space="preserve">to </w:t>
      </w:r>
      <w:r w:rsidR="005109F0">
        <w:rPr>
          <w:rFonts w:ascii="Arial" w:hAnsi="Arial" w:cs="Arial"/>
          <w:sz w:val="24"/>
          <w:szCs w:val="24"/>
        </w:rPr>
        <w:t>laps</w:t>
      </w:r>
      <w:r w:rsidR="00D27455">
        <w:rPr>
          <w:rFonts w:ascii="Arial" w:hAnsi="Arial" w:cs="Arial"/>
          <w:sz w:val="24"/>
          <w:szCs w:val="24"/>
        </w:rPr>
        <w:t>e</w:t>
      </w:r>
      <w:r w:rsidR="005109F0">
        <w:rPr>
          <w:rFonts w:ascii="Arial" w:hAnsi="Arial" w:cs="Arial"/>
          <w:sz w:val="24"/>
          <w:szCs w:val="24"/>
        </w:rPr>
        <w:t xml:space="preserve"> in an uncontrolled manner</w:t>
      </w:r>
      <w:r w:rsidR="00766047">
        <w:rPr>
          <w:rFonts w:ascii="Arial" w:hAnsi="Arial" w:cs="Arial"/>
          <w:sz w:val="24"/>
          <w:szCs w:val="24"/>
        </w:rPr>
        <w:t xml:space="preserve"> which </w:t>
      </w:r>
      <w:r w:rsidR="001A1D17">
        <w:rPr>
          <w:rFonts w:ascii="Arial" w:hAnsi="Arial" w:cs="Arial"/>
          <w:sz w:val="24"/>
          <w:szCs w:val="24"/>
        </w:rPr>
        <w:t xml:space="preserve">would </w:t>
      </w:r>
      <w:r w:rsidR="00766047">
        <w:rPr>
          <w:rFonts w:ascii="Arial" w:hAnsi="Arial" w:cs="Arial"/>
          <w:sz w:val="24"/>
          <w:szCs w:val="24"/>
        </w:rPr>
        <w:t xml:space="preserve">undermine </w:t>
      </w:r>
      <w:r w:rsidR="00F27E26">
        <w:rPr>
          <w:rFonts w:ascii="Arial" w:hAnsi="Arial" w:cs="Arial"/>
          <w:sz w:val="24"/>
          <w:szCs w:val="24"/>
        </w:rPr>
        <w:t xml:space="preserve">confidence </w:t>
      </w:r>
      <w:r w:rsidR="00766047">
        <w:rPr>
          <w:rFonts w:ascii="Arial" w:hAnsi="Arial" w:cs="Arial"/>
          <w:sz w:val="24"/>
          <w:szCs w:val="24"/>
        </w:rPr>
        <w:t xml:space="preserve">in the quality of current ITE </w:t>
      </w:r>
      <w:r w:rsidR="002479AA">
        <w:rPr>
          <w:rFonts w:ascii="Arial" w:hAnsi="Arial" w:cs="Arial"/>
          <w:sz w:val="24"/>
          <w:szCs w:val="24"/>
        </w:rPr>
        <w:t>programmes</w:t>
      </w:r>
      <w:r w:rsidR="00F27E26">
        <w:rPr>
          <w:rFonts w:ascii="Arial" w:hAnsi="Arial" w:cs="Arial"/>
          <w:sz w:val="24"/>
          <w:szCs w:val="24"/>
        </w:rPr>
        <w:t xml:space="preserve"> and </w:t>
      </w:r>
      <w:r w:rsidR="00C33CFA">
        <w:rPr>
          <w:rFonts w:ascii="Arial" w:hAnsi="Arial" w:cs="Arial"/>
          <w:sz w:val="24"/>
          <w:szCs w:val="24"/>
        </w:rPr>
        <w:t xml:space="preserve">(arguably) </w:t>
      </w:r>
      <w:r w:rsidR="00F27E26">
        <w:rPr>
          <w:rFonts w:ascii="Arial" w:hAnsi="Arial" w:cs="Arial"/>
          <w:sz w:val="24"/>
          <w:szCs w:val="24"/>
        </w:rPr>
        <w:t xml:space="preserve">jeopardises the quality of </w:t>
      </w:r>
      <w:r w:rsidR="001A1D17">
        <w:rPr>
          <w:rFonts w:ascii="Arial" w:hAnsi="Arial" w:cs="Arial"/>
          <w:sz w:val="24"/>
          <w:szCs w:val="24"/>
        </w:rPr>
        <w:t>the</w:t>
      </w:r>
      <w:r w:rsidR="00F27E26">
        <w:rPr>
          <w:rFonts w:ascii="Arial" w:hAnsi="Arial" w:cs="Arial"/>
          <w:sz w:val="24"/>
          <w:szCs w:val="24"/>
        </w:rPr>
        <w:t xml:space="preserve"> teaching workforce</w:t>
      </w:r>
      <w:r w:rsidR="001A1D17">
        <w:rPr>
          <w:rFonts w:ascii="Arial" w:hAnsi="Arial" w:cs="Arial"/>
          <w:sz w:val="24"/>
          <w:szCs w:val="24"/>
        </w:rPr>
        <w:t xml:space="preserve"> in Northern Ireland</w:t>
      </w:r>
      <w:r w:rsidR="00F27E26">
        <w:rPr>
          <w:rFonts w:ascii="Arial" w:hAnsi="Arial" w:cs="Arial"/>
          <w:sz w:val="24"/>
          <w:szCs w:val="24"/>
        </w:rPr>
        <w:t>.</w:t>
      </w:r>
    </w:p>
    <w:p w14:paraId="7B991715" w14:textId="77777777" w:rsidR="005C048B" w:rsidRPr="005C048B" w:rsidRDefault="005C048B" w:rsidP="005C048B">
      <w:pPr>
        <w:pStyle w:val="ListParagraph"/>
        <w:rPr>
          <w:rFonts w:ascii="Arial" w:hAnsi="Arial" w:cs="Arial"/>
          <w:sz w:val="24"/>
          <w:szCs w:val="24"/>
        </w:rPr>
      </w:pPr>
    </w:p>
    <w:p w14:paraId="3C77A124" w14:textId="20FA73AC" w:rsidR="005C048B" w:rsidRDefault="005C048B" w:rsidP="005C048B">
      <w:pPr>
        <w:pStyle w:val="ListParagraph"/>
        <w:numPr>
          <w:ilvl w:val="0"/>
          <w:numId w:val="3"/>
        </w:numPr>
        <w:spacing w:after="0"/>
        <w:ind w:left="284" w:hanging="437"/>
        <w:rPr>
          <w:rFonts w:ascii="Arial" w:hAnsi="Arial" w:cs="Arial"/>
          <w:sz w:val="24"/>
          <w:szCs w:val="24"/>
        </w:rPr>
      </w:pPr>
      <w:r>
        <w:rPr>
          <w:rFonts w:ascii="Arial" w:hAnsi="Arial" w:cs="Arial"/>
          <w:sz w:val="24"/>
          <w:szCs w:val="24"/>
        </w:rPr>
        <w:t>While such criticisms would be a gross over-s</w:t>
      </w:r>
      <w:r w:rsidR="00BE1B96">
        <w:rPr>
          <w:rFonts w:ascii="Arial" w:hAnsi="Arial" w:cs="Arial"/>
          <w:sz w:val="24"/>
          <w:szCs w:val="24"/>
        </w:rPr>
        <w:t xml:space="preserve">implification </w:t>
      </w:r>
      <w:r>
        <w:rPr>
          <w:rFonts w:ascii="Arial" w:hAnsi="Arial" w:cs="Arial"/>
          <w:sz w:val="24"/>
          <w:szCs w:val="24"/>
        </w:rPr>
        <w:t xml:space="preserve">of the situation, the Department would be keen to demonstrate the importance which DE and the HEIs have placed, and continue to place, on the quality of ITE provision. Accordingly, </w:t>
      </w:r>
      <w:r w:rsidR="001A1D17">
        <w:rPr>
          <w:rFonts w:ascii="Arial" w:hAnsi="Arial" w:cs="Arial"/>
          <w:sz w:val="24"/>
          <w:szCs w:val="24"/>
        </w:rPr>
        <w:t>the Department’s</w:t>
      </w:r>
      <w:r>
        <w:rPr>
          <w:rFonts w:ascii="Arial" w:hAnsi="Arial" w:cs="Arial"/>
          <w:sz w:val="24"/>
          <w:szCs w:val="24"/>
        </w:rPr>
        <w:t xml:space="preserve"> preference would be </w:t>
      </w:r>
      <w:r w:rsidR="00230EBD">
        <w:rPr>
          <w:rFonts w:ascii="Arial" w:hAnsi="Arial" w:cs="Arial"/>
          <w:sz w:val="24"/>
          <w:szCs w:val="24"/>
        </w:rPr>
        <w:t xml:space="preserve">to </w:t>
      </w:r>
      <w:r>
        <w:rPr>
          <w:rFonts w:ascii="Arial" w:hAnsi="Arial" w:cs="Arial"/>
          <w:sz w:val="24"/>
          <w:szCs w:val="24"/>
        </w:rPr>
        <w:t xml:space="preserve">acknowledge that GTCNI cannot currently fulfil </w:t>
      </w:r>
      <w:r w:rsidR="00A87C98">
        <w:rPr>
          <w:rFonts w:ascii="Arial" w:hAnsi="Arial" w:cs="Arial"/>
          <w:sz w:val="24"/>
          <w:szCs w:val="24"/>
        </w:rPr>
        <w:t>its</w:t>
      </w:r>
      <w:r>
        <w:rPr>
          <w:rFonts w:ascii="Arial" w:hAnsi="Arial" w:cs="Arial"/>
          <w:sz w:val="24"/>
          <w:szCs w:val="24"/>
        </w:rPr>
        <w:t xml:space="preserve"> historic role in reaccrediting NI ITE </w:t>
      </w:r>
      <w:r w:rsidR="002479AA">
        <w:rPr>
          <w:rFonts w:ascii="Arial" w:hAnsi="Arial" w:cs="Arial"/>
          <w:sz w:val="24"/>
          <w:szCs w:val="24"/>
        </w:rPr>
        <w:t>programmes</w:t>
      </w:r>
      <w:r w:rsidR="0063050F">
        <w:rPr>
          <w:rFonts w:ascii="Arial" w:hAnsi="Arial" w:cs="Arial"/>
          <w:sz w:val="24"/>
          <w:szCs w:val="24"/>
        </w:rPr>
        <w:t>,</w:t>
      </w:r>
      <w:r>
        <w:rPr>
          <w:rFonts w:ascii="Arial" w:hAnsi="Arial" w:cs="Arial"/>
          <w:sz w:val="24"/>
          <w:szCs w:val="24"/>
        </w:rPr>
        <w:t xml:space="preserve"> but to then demonstrate that an alternative process was followed which evidences the continuing quality of ITE provision and supports a decision by the Department to ‘reapprove’ the </w:t>
      </w:r>
      <w:r w:rsidR="002479AA">
        <w:rPr>
          <w:rFonts w:ascii="Arial" w:hAnsi="Arial" w:cs="Arial"/>
          <w:sz w:val="24"/>
          <w:szCs w:val="24"/>
        </w:rPr>
        <w:t>programmes</w:t>
      </w:r>
      <w:r>
        <w:rPr>
          <w:rFonts w:ascii="Arial" w:hAnsi="Arial" w:cs="Arial"/>
          <w:sz w:val="24"/>
          <w:szCs w:val="24"/>
        </w:rPr>
        <w:t xml:space="preserve">, even in the absence of GTCNI involvement. </w:t>
      </w:r>
    </w:p>
    <w:p w14:paraId="17295DFB" w14:textId="77777777" w:rsidR="005109F0" w:rsidRPr="005109F0" w:rsidRDefault="005109F0" w:rsidP="005109F0">
      <w:pPr>
        <w:pStyle w:val="ListParagraph"/>
        <w:spacing w:after="0"/>
        <w:ind w:left="284"/>
        <w:rPr>
          <w:rFonts w:ascii="Arial" w:hAnsi="Arial" w:cs="Arial"/>
          <w:sz w:val="24"/>
          <w:szCs w:val="24"/>
        </w:rPr>
      </w:pPr>
    </w:p>
    <w:p w14:paraId="667D459B" w14:textId="726A09EE" w:rsidR="005109F0" w:rsidRPr="00766047" w:rsidRDefault="00DB0ED8" w:rsidP="005109F0">
      <w:pPr>
        <w:spacing w:after="0"/>
        <w:ind w:left="-142"/>
        <w:rPr>
          <w:rFonts w:ascii="Arial" w:hAnsi="Arial" w:cs="Arial"/>
          <w:b/>
          <w:sz w:val="24"/>
          <w:szCs w:val="24"/>
          <w:u w:val="single"/>
        </w:rPr>
      </w:pPr>
      <w:r w:rsidRPr="00766047">
        <w:rPr>
          <w:rFonts w:ascii="Arial" w:hAnsi="Arial" w:cs="Arial"/>
          <w:b/>
          <w:sz w:val="24"/>
          <w:szCs w:val="24"/>
          <w:u w:val="single"/>
        </w:rPr>
        <w:t>For Discussion</w:t>
      </w:r>
    </w:p>
    <w:p w14:paraId="53B59B26" w14:textId="77777777" w:rsidR="005109F0" w:rsidRPr="005109F0" w:rsidRDefault="005109F0" w:rsidP="005109F0">
      <w:pPr>
        <w:pStyle w:val="ListParagraph"/>
        <w:spacing w:after="0"/>
        <w:ind w:left="284"/>
        <w:rPr>
          <w:rFonts w:ascii="Arial" w:hAnsi="Arial" w:cs="Arial"/>
          <w:sz w:val="24"/>
          <w:szCs w:val="24"/>
        </w:rPr>
      </w:pPr>
    </w:p>
    <w:p w14:paraId="241C015C" w14:textId="7399D196" w:rsidR="005109F0" w:rsidRDefault="00DB0ED8" w:rsidP="005109F0">
      <w:pPr>
        <w:pStyle w:val="ListParagraph"/>
        <w:numPr>
          <w:ilvl w:val="0"/>
          <w:numId w:val="3"/>
        </w:numPr>
        <w:spacing w:after="0"/>
        <w:ind w:left="284" w:hanging="426"/>
        <w:rPr>
          <w:rFonts w:ascii="Arial" w:hAnsi="Arial" w:cs="Arial"/>
          <w:sz w:val="24"/>
          <w:szCs w:val="24"/>
        </w:rPr>
      </w:pPr>
      <w:r>
        <w:rPr>
          <w:rFonts w:ascii="Arial" w:hAnsi="Arial" w:cs="Arial"/>
          <w:sz w:val="24"/>
          <w:szCs w:val="24"/>
        </w:rPr>
        <w:t xml:space="preserve">DE </w:t>
      </w:r>
      <w:r w:rsidR="00A87C98">
        <w:rPr>
          <w:rFonts w:ascii="Arial" w:hAnsi="Arial" w:cs="Arial"/>
          <w:sz w:val="24"/>
          <w:szCs w:val="24"/>
        </w:rPr>
        <w:t xml:space="preserve">Circular </w:t>
      </w:r>
      <w:r>
        <w:rPr>
          <w:rFonts w:ascii="Arial" w:hAnsi="Arial" w:cs="Arial"/>
          <w:sz w:val="24"/>
          <w:szCs w:val="24"/>
        </w:rPr>
        <w:t xml:space="preserve">2010/03 reflects four </w:t>
      </w:r>
      <w:r w:rsidR="005109F0">
        <w:rPr>
          <w:rFonts w:ascii="Arial" w:hAnsi="Arial" w:cs="Arial"/>
          <w:sz w:val="24"/>
          <w:szCs w:val="24"/>
        </w:rPr>
        <w:t>different aspects of scrutiny and validation</w:t>
      </w:r>
      <w:r>
        <w:rPr>
          <w:rFonts w:ascii="Arial" w:hAnsi="Arial" w:cs="Arial"/>
          <w:sz w:val="24"/>
          <w:szCs w:val="24"/>
        </w:rPr>
        <w:t>:</w:t>
      </w:r>
      <w:r w:rsidR="00A87C98">
        <w:rPr>
          <w:rFonts w:ascii="Arial" w:hAnsi="Arial" w:cs="Arial"/>
          <w:sz w:val="24"/>
          <w:szCs w:val="24"/>
        </w:rPr>
        <w:br/>
      </w:r>
    </w:p>
    <w:p w14:paraId="62DA34E7" w14:textId="10221BD8" w:rsidR="00DB0ED8" w:rsidRDefault="00DD5BB5" w:rsidP="00C33CFA">
      <w:pPr>
        <w:pStyle w:val="ListParagraph"/>
        <w:numPr>
          <w:ilvl w:val="1"/>
          <w:numId w:val="3"/>
        </w:numPr>
        <w:spacing w:after="0"/>
        <w:ind w:left="567" w:hanging="283"/>
        <w:rPr>
          <w:rFonts w:ascii="Arial" w:hAnsi="Arial" w:cs="Arial"/>
          <w:sz w:val="24"/>
          <w:szCs w:val="24"/>
        </w:rPr>
      </w:pPr>
      <w:r w:rsidRPr="005109F0">
        <w:rPr>
          <w:rFonts w:ascii="Arial" w:hAnsi="Arial" w:cs="Arial"/>
          <w:b/>
          <w:bCs/>
          <w:sz w:val="24"/>
          <w:szCs w:val="24"/>
        </w:rPr>
        <w:t>Approval</w:t>
      </w:r>
      <w:r w:rsidRPr="00D27455">
        <w:rPr>
          <w:rFonts w:ascii="Arial" w:hAnsi="Arial" w:cs="Arial"/>
          <w:b/>
          <w:bCs/>
          <w:sz w:val="24"/>
          <w:szCs w:val="24"/>
        </w:rPr>
        <w:t xml:space="preserve">: </w:t>
      </w:r>
      <w:r w:rsidR="00DB0ED8" w:rsidRPr="00D27455">
        <w:rPr>
          <w:rFonts w:ascii="Arial" w:hAnsi="Arial" w:cs="Arial"/>
          <w:b/>
          <w:bCs/>
          <w:i/>
          <w:iCs/>
          <w:sz w:val="24"/>
          <w:szCs w:val="24"/>
          <w:u w:val="single"/>
        </w:rPr>
        <w:t>Provided by DE</w:t>
      </w:r>
      <w:r w:rsidR="002479AA" w:rsidRPr="002479AA">
        <w:rPr>
          <w:rStyle w:val="FootnoteReference"/>
          <w:rFonts w:ascii="Arial" w:hAnsi="Arial" w:cs="Arial"/>
          <w:b/>
          <w:bCs/>
          <w:i/>
          <w:iCs/>
          <w:sz w:val="24"/>
          <w:szCs w:val="24"/>
        </w:rPr>
        <w:footnoteReference w:id="1"/>
      </w:r>
      <w:r w:rsidR="00DB0ED8" w:rsidRPr="002479AA">
        <w:rPr>
          <w:rFonts w:ascii="Arial" w:hAnsi="Arial" w:cs="Arial"/>
          <w:b/>
          <w:bCs/>
          <w:i/>
          <w:iCs/>
          <w:sz w:val="24"/>
          <w:szCs w:val="24"/>
        </w:rPr>
        <w:t>.</w:t>
      </w:r>
      <w:r w:rsidR="00DB0ED8">
        <w:rPr>
          <w:rFonts w:ascii="Arial" w:hAnsi="Arial" w:cs="Arial"/>
          <w:sz w:val="24"/>
          <w:szCs w:val="24"/>
        </w:rPr>
        <w:t xml:space="preserve"> This is </w:t>
      </w:r>
      <w:r w:rsidR="00DB0ED8" w:rsidRPr="00DB0ED8">
        <w:rPr>
          <w:rFonts w:ascii="Arial" w:hAnsi="Arial" w:cs="Arial"/>
          <w:sz w:val="24"/>
          <w:szCs w:val="24"/>
        </w:rPr>
        <w:t xml:space="preserve">dependent upon evidence of need, accreditation by the General Teaching Council for Northern Ireland (GTCNI) and evidence from inspection by the Education and Training Inspectorate (ETI). Approval permits ITE providers to offer programmes, the successful completion of which entitle individuals to seek registration with the GTCNI and thus be able to teach in grant-aided schools in Northern Ireland. </w:t>
      </w:r>
    </w:p>
    <w:p w14:paraId="10A8C2FC" w14:textId="646FCC8D" w:rsidR="00DB0ED8" w:rsidRPr="00DB0ED8" w:rsidRDefault="00DB0ED8" w:rsidP="00C33CFA">
      <w:pPr>
        <w:pStyle w:val="ListParagraph"/>
        <w:numPr>
          <w:ilvl w:val="1"/>
          <w:numId w:val="3"/>
        </w:numPr>
        <w:spacing w:after="0"/>
        <w:ind w:left="567" w:hanging="283"/>
        <w:rPr>
          <w:rFonts w:ascii="Arial" w:hAnsi="Arial" w:cs="Arial"/>
          <w:sz w:val="24"/>
          <w:szCs w:val="24"/>
        </w:rPr>
      </w:pPr>
      <w:r w:rsidRPr="00D27455">
        <w:rPr>
          <w:rFonts w:ascii="Arial" w:hAnsi="Arial" w:cs="Arial"/>
          <w:b/>
          <w:bCs/>
          <w:sz w:val="24"/>
          <w:szCs w:val="24"/>
        </w:rPr>
        <w:t xml:space="preserve">Accreditation: </w:t>
      </w:r>
      <w:r w:rsidR="00D27455" w:rsidRPr="00D27455">
        <w:rPr>
          <w:rFonts w:ascii="Arial" w:hAnsi="Arial" w:cs="Arial"/>
          <w:b/>
          <w:bCs/>
          <w:i/>
          <w:iCs/>
          <w:sz w:val="24"/>
          <w:szCs w:val="24"/>
          <w:u w:val="single"/>
        </w:rPr>
        <w:t>Provided by GTCNI.</w:t>
      </w:r>
      <w:r w:rsidR="00D27455">
        <w:rPr>
          <w:rFonts w:ascii="Arial" w:hAnsi="Arial" w:cs="Arial"/>
          <w:b/>
          <w:bCs/>
          <w:sz w:val="24"/>
          <w:szCs w:val="24"/>
        </w:rPr>
        <w:t xml:space="preserve"> </w:t>
      </w:r>
      <w:r w:rsidRPr="00DB0ED8">
        <w:rPr>
          <w:rFonts w:ascii="Arial" w:hAnsi="Arial" w:cs="Arial"/>
          <w:sz w:val="24"/>
          <w:szCs w:val="24"/>
        </w:rPr>
        <w:t xml:space="preserve">Accreditation is concerned with the suitability of ITE programmes as a professional preparation which enables students successfully completing such programmes to register with the GTCNI. </w:t>
      </w:r>
      <w:r w:rsidRPr="00DB0ED8">
        <w:rPr>
          <w:rFonts w:ascii="Arial" w:hAnsi="Arial" w:cs="Arial"/>
          <w:sz w:val="24"/>
          <w:szCs w:val="24"/>
        </w:rPr>
        <w:lastRenderedPageBreak/>
        <w:t>GTCNI accredits ITE programmes underpinned by the Requirements set out in Circular</w:t>
      </w:r>
      <w:r w:rsidR="00BE1B96">
        <w:rPr>
          <w:rFonts w:ascii="Arial" w:hAnsi="Arial" w:cs="Arial"/>
          <w:sz w:val="24"/>
          <w:szCs w:val="24"/>
        </w:rPr>
        <w:t xml:space="preserve"> 2010/03</w:t>
      </w:r>
      <w:r w:rsidRPr="00DB0ED8">
        <w:rPr>
          <w:rFonts w:ascii="Arial" w:hAnsi="Arial" w:cs="Arial"/>
          <w:sz w:val="24"/>
          <w:szCs w:val="24"/>
        </w:rPr>
        <w:t>. Accreditation is separate from academic validation</w:t>
      </w:r>
      <w:r w:rsidR="00D27455">
        <w:rPr>
          <w:rFonts w:ascii="Arial" w:hAnsi="Arial" w:cs="Arial"/>
          <w:sz w:val="24"/>
          <w:szCs w:val="24"/>
        </w:rPr>
        <w:t>.</w:t>
      </w:r>
    </w:p>
    <w:p w14:paraId="6086D07A" w14:textId="54271FF3" w:rsidR="00DB0ED8" w:rsidRPr="00DB0ED8" w:rsidRDefault="00DB0ED8" w:rsidP="00C33CFA">
      <w:pPr>
        <w:pStyle w:val="ListParagraph"/>
        <w:numPr>
          <w:ilvl w:val="1"/>
          <w:numId w:val="3"/>
        </w:numPr>
        <w:spacing w:after="0"/>
        <w:ind w:left="567" w:hanging="283"/>
        <w:rPr>
          <w:rFonts w:ascii="Arial" w:hAnsi="Arial" w:cs="Arial"/>
          <w:sz w:val="24"/>
          <w:szCs w:val="24"/>
        </w:rPr>
      </w:pPr>
      <w:r w:rsidRPr="00D27455">
        <w:rPr>
          <w:rFonts w:ascii="Arial" w:hAnsi="Arial" w:cs="Arial"/>
          <w:b/>
          <w:bCs/>
          <w:sz w:val="24"/>
          <w:szCs w:val="24"/>
        </w:rPr>
        <w:t>Self-evaluation</w:t>
      </w:r>
      <w:r w:rsidR="00D27455" w:rsidRPr="00D27455">
        <w:rPr>
          <w:rFonts w:ascii="Arial" w:hAnsi="Arial" w:cs="Arial"/>
          <w:b/>
          <w:bCs/>
          <w:sz w:val="24"/>
          <w:szCs w:val="24"/>
        </w:rPr>
        <w:t xml:space="preserve">: </w:t>
      </w:r>
      <w:r w:rsidR="00D27455" w:rsidRPr="00D27455">
        <w:rPr>
          <w:rFonts w:ascii="Arial" w:hAnsi="Arial" w:cs="Arial"/>
          <w:b/>
          <w:bCs/>
          <w:i/>
          <w:iCs/>
          <w:sz w:val="24"/>
          <w:szCs w:val="24"/>
          <w:u w:val="single"/>
        </w:rPr>
        <w:t>Undertaken by the HEIs.</w:t>
      </w:r>
      <w:r w:rsidR="00D27455" w:rsidRPr="00D27455">
        <w:rPr>
          <w:rFonts w:ascii="Arial" w:hAnsi="Arial" w:cs="Arial"/>
          <w:sz w:val="24"/>
          <w:szCs w:val="24"/>
        </w:rPr>
        <w:t xml:space="preserve"> </w:t>
      </w:r>
      <w:r w:rsidRPr="00DB0ED8">
        <w:rPr>
          <w:rFonts w:ascii="Arial" w:hAnsi="Arial" w:cs="Arial"/>
          <w:sz w:val="24"/>
          <w:szCs w:val="24"/>
        </w:rPr>
        <w:t>Self-evaluation is an internal process, making use of monitoring and evaluation processes which include the use of the framework of quality indicators agreed jointly by the ETI and the ITE providers. The purpose of self-evaluation is to identify necessary improvements</w:t>
      </w:r>
      <w:r w:rsidR="00BE1B96">
        <w:rPr>
          <w:rFonts w:ascii="Arial" w:hAnsi="Arial" w:cs="Arial"/>
          <w:sz w:val="24"/>
          <w:szCs w:val="24"/>
        </w:rPr>
        <w:t>,</w:t>
      </w:r>
      <w:r w:rsidRPr="00DB0ED8">
        <w:rPr>
          <w:rFonts w:ascii="Arial" w:hAnsi="Arial" w:cs="Arial"/>
          <w:sz w:val="24"/>
          <w:szCs w:val="24"/>
        </w:rPr>
        <w:t xml:space="preserve"> </w:t>
      </w:r>
      <w:r w:rsidR="00BE1B96">
        <w:rPr>
          <w:rFonts w:ascii="Arial" w:hAnsi="Arial" w:cs="Arial"/>
          <w:sz w:val="24"/>
          <w:szCs w:val="24"/>
        </w:rPr>
        <w:t xml:space="preserve">inform </w:t>
      </w:r>
      <w:r w:rsidRPr="00DB0ED8">
        <w:rPr>
          <w:rFonts w:ascii="Arial" w:hAnsi="Arial" w:cs="Arial"/>
          <w:sz w:val="24"/>
          <w:szCs w:val="24"/>
        </w:rPr>
        <w:t>improvement plans</w:t>
      </w:r>
      <w:r w:rsidR="00BE1B96">
        <w:rPr>
          <w:rFonts w:ascii="Arial" w:hAnsi="Arial" w:cs="Arial"/>
          <w:sz w:val="24"/>
          <w:szCs w:val="24"/>
        </w:rPr>
        <w:t xml:space="preserve"> and set </w:t>
      </w:r>
      <w:r w:rsidR="00D27455" w:rsidRPr="00DB0ED8">
        <w:rPr>
          <w:rFonts w:ascii="Arial" w:hAnsi="Arial" w:cs="Arial"/>
          <w:sz w:val="24"/>
          <w:szCs w:val="24"/>
        </w:rPr>
        <w:t>measurable</w:t>
      </w:r>
      <w:r w:rsidRPr="00DB0ED8">
        <w:rPr>
          <w:rFonts w:ascii="Arial" w:hAnsi="Arial" w:cs="Arial"/>
          <w:sz w:val="24"/>
          <w:szCs w:val="24"/>
        </w:rPr>
        <w:t xml:space="preserve"> outcomes. </w:t>
      </w:r>
    </w:p>
    <w:p w14:paraId="5530B654" w14:textId="1CFE17A2" w:rsidR="00DB0ED8" w:rsidRDefault="00DB0ED8" w:rsidP="00C33CFA">
      <w:pPr>
        <w:pStyle w:val="ListParagraph"/>
        <w:numPr>
          <w:ilvl w:val="1"/>
          <w:numId w:val="3"/>
        </w:numPr>
        <w:spacing w:after="0"/>
        <w:ind w:left="567" w:hanging="283"/>
        <w:rPr>
          <w:rFonts w:ascii="Arial" w:hAnsi="Arial" w:cs="Arial"/>
          <w:sz w:val="24"/>
          <w:szCs w:val="24"/>
        </w:rPr>
      </w:pPr>
      <w:r w:rsidRPr="00D27455">
        <w:rPr>
          <w:rFonts w:ascii="Arial" w:hAnsi="Arial" w:cs="Arial"/>
          <w:b/>
          <w:bCs/>
          <w:sz w:val="24"/>
          <w:szCs w:val="24"/>
        </w:rPr>
        <w:t>Inspection</w:t>
      </w:r>
      <w:r w:rsidR="00D27455" w:rsidRPr="00D27455">
        <w:rPr>
          <w:rFonts w:ascii="Arial" w:hAnsi="Arial" w:cs="Arial"/>
          <w:b/>
          <w:bCs/>
          <w:sz w:val="24"/>
          <w:szCs w:val="24"/>
        </w:rPr>
        <w:t xml:space="preserve">: </w:t>
      </w:r>
      <w:r w:rsidR="00D27455" w:rsidRPr="00D27455">
        <w:rPr>
          <w:rFonts w:ascii="Arial" w:hAnsi="Arial" w:cs="Arial"/>
          <w:b/>
          <w:bCs/>
          <w:i/>
          <w:iCs/>
          <w:sz w:val="24"/>
          <w:szCs w:val="24"/>
          <w:u w:val="single"/>
        </w:rPr>
        <w:t>Undertaken by ETI</w:t>
      </w:r>
      <w:r w:rsidR="00D27455" w:rsidRPr="00D27455">
        <w:rPr>
          <w:rFonts w:ascii="Arial" w:hAnsi="Arial" w:cs="Arial"/>
          <w:b/>
          <w:bCs/>
          <w:sz w:val="24"/>
          <w:szCs w:val="24"/>
        </w:rPr>
        <w:t>.</w:t>
      </w:r>
      <w:r w:rsidR="00D27455" w:rsidRPr="00D27455">
        <w:rPr>
          <w:rFonts w:ascii="Arial" w:hAnsi="Arial" w:cs="Arial"/>
          <w:sz w:val="24"/>
          <w:szCs w:val="24"/>
        </w:rPr>
        <w:t xml:space="preserve"> </w:t>
      </w:r>
      <w:r w:rsidRPr="00DB0ED8">
        <w:rPr>
          <w:rFonts w:ascii="Arial" w:hAnsi="Arial" w:cs="Arial"/>
          <w:sz w:val="24"/>
          <w:szCs w:val="24"/>
        </w:rPr>
        <w:t xml:space="preserve">Inspection of ITE programmes is carried out by the ETI who make an evaluation of ITE provision. </w:t>
      </w:r>
      <w:r w:rsidR="00815495">
        <w:rPr>
          <w:rFonts w:ascii="Arial" w:hAnsi="Arial" w:cs="Arial"/>
          <w:sz w:val="24"/>
          <w:szCs w:val="24"/>
        </w:rPr>
        <w:t>I</w:t>
      </w:r>
      <w:r w:rsidRPr="00DB0ED8">
        <w:rPr>
          <w:rFonts w:ascii="Arial" w:hAnsi="Arial" w:cs="Arial"/>
          <w:sz w:val="24"/>
          <w:szCs w:val="24"/>
        </w:rPr>
        <w:t xml:space="preserve">nspection also audits and quality-assures the self-evaluation carried out by ITE providers, using the agreed quality indicators. </w:t>
      </w:r>
    </w:p>
    <w:p w14:paraId="5ADD7339" w14:textId="7AC5DAD1" w:rsidR="00815495" w:rsidRDefault="00815495" w:rsidP="00815495">
      <w:pPr>
        <w:spacing w:after="0"/>
        <w:rPr>
          <w:rFonts w:ascii="Arial" w:hAnsi="Arial" w:cs="Arial"/>
          <w:sz w:val="24"/>
          <w:szCs w:val="24"/>
        </w:rPr>
      </w:pPr>
    </w:p>
    <w:p w14:paraId="62727BC4" w14:textId="77777777" w:rsidR="00815495" w:rsidRDefault="00815495" w:rsidP="00815495">
      <w:pPr>
        <w:spacing w:after="0"/>
        <w:rPr>
          <w:rFonts w:ascii="Arial" w:hAnsi="Arial" w:cs="Arial"/>
          <w:sz w:val="24"/>
          <w:szCs w:val="24"/>
        </w:rPr>
      </w:pPr>
      <w:r>
        <w:rPr>
          <w:rFonts w:ascii="Arial" w:hAnsi="Arial" w:cs="Arial"/>
          <w:sz w:val="24"/>
          <w:szCs w:val="24"/>
        </w:rPr>
        <w:t>Additionally, in an earlier iteration of GTCNI’s reaccreditation process, it had also acknowledged the role in assuring the quality of ITE provision which is played by:</w:t>
      </w:r>
    </w:p>
    <w:p w14:paraId="13687166" w14:textId="00DABC32" w:rsidR="00815495" w:rsidRPr="00815495" w:rsidRDefault="00815495" w:rsidP="00815495">
      <w:pPr>
        <w:spacing w:after="0"/>
        <w:rPr>
          <w:rFonts w:ascii="Arial" w:hAnsi="Arial" w:cs="Arial"/>
          <w:sz w:val="24"/>
          <w:szCs w:val="24"/>
        </w:rPr>
      </w:pPr>
      <w:r>
        <w:rPr>
          <w:rFonts w:ascii="Arial" w:hAnsi="Arial" w:cs="Arial"/>
          <w:sz w:val="24"/>
          <w:szCs w:val="24"/>
        </w:rPr>
        <w:t xml:space="preserve"> </w:t>
      </w:r>
    </w:p>
    <w:p w14:paraId="5D94D184" w14:textId="30071ABC" w:rsidR="00815495" w:rsidRDefault="00DD5BB5" w:rsidP="00C33CFA">
      <w:pPr>
        <w:pStyle w:val="ListParagraph"/>
        <w:numPr>
          <w:ilvl w:val="1"/>
          <w:numId w:val="3"/>
        </w:numPr>
        <w:spacing w:after="0"/>
        <w:ind w:left="567" w:hanging="283"/>
        <w:rPr>
          <w:rFonts w:ascii="Arial" w:hAnsi="Arial" w:cs="Arial"/>
          <w:sz w:val="24"/>
          <w:szCs w:val="24"/>
        </w:rPr>
      </w:pPr>
      <w:r w:rsidRPr="00A97F1E">
        <w:rPr>
          <w:rFonts w:ascii="Arial" w:hAnsi="Arial" w:cs="Arial"/>
          <w:b/>
          <w:bCs/>
          <w:sz w:val="24"/>
          <w:szCs w:val="24"/>
        </w:rPr>
        <w:t>Academic Validation</w:t>
      </w:r>
      <w:r w:rsidRPr="00815495">
        <w:rPr>
          <w:rFonts w:ascii="Arial" w:hAnsi="Arial" w:cs="Arial"/>
          <w:b/>
          <w:bCs/>
          <w:sz w:val="24"/>
          <w:szCs w:val="24"/>
        </w:rPr>
        <w:t xml:space="preserve">: </w:t>
      </w:r>
      <w:r w:rsidR="00815495" w:rsidRPr="00815495">
        <w:rPr>
          <w:rFonts w:ascii="Arial" w:hAnsi="Arial" w:cs="Arial"/>
          <w:b/>
          <w:bCs/>
          <w:i/>
          <w:iCs/>
          <w:sz w:val="24"/>
          <w:szCs w:val="24"/>
          <w:u w:val="single"/>
        </w:rPr>
        <w:t xml:space="preserve">Undertaken both internally by the HEIs and externally </w:t>
      </w:r>
      <w:r w:rsidR="00BE1B96">
        <w:rPr>
          <w:rFonts w:ascii="Arial" w:hAnsi="Arial" w:cs="Arial"/>
          <w:b/>
          <w:bCs/>
          <w:i/>
          <w:iCs/>
          <w:sz w:val="24"/>
          <w:szCs w:val="24"/>
          <w:u w:val="single"/>
        </w:rPr>
        <w:t>(</w:t>
      </w:r>
      <w:r w:rsidR="00815495" w:rsidRPr="00815495">
        <w:rPr>
          <w:rFonts w:ascii="Arial" w:hAnsi="Arial" w:cs="Arial"/>
          <w:b/>
          <w:bCs/>
          <w:i/>
          <w:iCs/>
          <w:sz w:val="24"/>
          <w:szCs w:val="24"/>
          <w:u w:val="single"/>
        </w:rPr>
        <w:t xml:space="preserve">by the </w:t>
      </w:r>
      <w:r w:rsidR="001A1D17">
        <w:rPr>
          <w:rFonts w:ascii="Arial" w:hAnsi="Arial" w:cs="Arial"/>
          <w:b/>
          <w:bCs/>
          <w:i/>
          <w:iCs/>
          <w:sz w:val="24"/>
          <w:szCs w:val="24"/>
          <w:u w:val="single"/>
        </w:rPr>
        <w:t>Quality Assurance Association for Higher Education (</w:t>
      </w:r>
      <w:r w:rsidR="00815495" w:rsidRPr="00815495">
        <w:rPr>
          <w:rFonts w:ascii="Arial" w:hAnsi="Arial" w:cs="Arial"/>
          <w:b/>
          <w:bCs/>
          <w:i/>
          <w:iCs/>
          <w:sz w:val="24"/>
          <w:szCs w:val="24"/>
          <w:u w:val="single"/>
        </w:rPr>
        <w:t>QAA</w:t>
      </w:r>
      <w:r w:rsidR="001A1D17">
        <w:rPr>
          <w:rFonts w:ascii="Arial" w:hAnsi="Arial" w:cs="Arial"/>
          <w:b/>
          <w:bCs/>
          <w:i/>
          <w:iCs/>
          <w:sz w:val="24"/>
          <w:szCs w:val="24"/>
          <w:u w:val="single"/>
        </w:rPr>
        <w:t>)</w:t>
      </w:r>
      <w:r w:rsidR="00BE1B96">
        <w:rPr>
          <w:rFonts w:ascii="Arial" w:hAnsi="Arial" w:cs="Arial"/>
          <w:b/>
          <w:bCs/>
          <w:i/>
          <w:iCs/>
          <w:sz w:val="24"/>
          <w:szCs w:val="24"/>
          <w:u w:val="single"/>
        </w:rPr>
        <w:t>)</w:t>
      </w:r>
      <w:r w:rsidR="00815495" w:rsidRPr="00815495">
        <w:rPr>
          <w:rFonts w:ascii="Arial" w:hAnsi="Arial" w:cs="Arial"/>
          <w:b/>
          <w:bCs/>
          <w:i/>
          <w:iCs/>
          <w:sz w:val="24"/>
          <w:szCs w:val="24"/>
          <w:u w:val="single"/>
        </w:rPr>
        <w:t>.</w:t>
      </w:r>
      <w:r w:rsidR="00815495">
        <w:rPr>
          <w:rFonts w:ascii="Arial" w:hAnsi="Arial" w:cs="Arial"/>
          <w:sz w:val="24"/>
          <w:szCs w:val="24"/>
        </w:rPr>
        <w:t xml:space="preserve"> </w:t>
      </w:r>
      <w:r w:rsidRPr="00A97F1E">
        <w:rPr>
          <w:rFonts w:ascii="Arial" w:hAnsi="Arial" w:cs="Arial"/>
          <w:sz w:val="24"/>
          <w:szCs w:val="24"/>
        </w:rPr>
        <w:t>Th</w:t>
      </w:r>
      <w:r w:rsidR="00815495">
        <w:rPr>
          <w:rFonts w:ascii="Arial" w:hAnsi="Arial" w:cs="Arial"/>
          <w:sz w:val="24"/>
          <w:szCs w:val="24"/>
        </w:rPr>
        <w:t>e</w:t>
      </w:r>
      <w:r w:rsidRPr="00A97F1E">
        <w:rPr>
          <w:rFonts w:ascii="Arial" w:hAnsi="Arial" w:cs="Arial"/>
          <w:sz w:val="24"/>
          <w:szCs w:val="24"/>
        </w:rPr>
        <w:t>s</w:t>
      </w:r>
      <w:r w:rsidR="00815495">
        <w:rPr>
          <w:rFonts w:ascii="Arial" w:hAnsi="Arial" w:cs="Arial"/>
          <w:sz w:val="24"/>
          <w:szCs w:val="24"/>
        </w:rPr>
        <w:t xml:space="preserve">e two processes </w:t>
      </w:r>
      <w:r w:rsidRPr="00A97F1E">
        <w:rPr>
          <w:rFonts w:ascii="Arial" w:hAnsi="Arial" w:cs="Arial"/>
          <w:sz w:val="24"/>
          <w:szCs w:val="24"/>
        </w:rPr>
        <w:t>ensure that their initial teacher education programmes meet the necessary academic standards to enable HEI</w:t>
      </w:r>
      <w:r w:rsidR="001A1D17">
        <w:rPr>
          <w:rFonts w:ascii="Arial" w:hAnsi="Arial" w:cs="Arial"/>
          <w:sz w:val="24"/>
          <w:szCs w:val="24"/>
        </w:rPr>
        <w:t>s</w:t>
      </w:r>
      <w:r w:rsidRPr="00A97F1E">
        <w:rPr>
          <w:rFonts w:ascii="Arial" w:hAnsi="Arial" w:cs="Arial"/>
          <w:sz w:val="24"/>
          <w:szCs w:val="24"/>
        </w:rPr>
        <w:t xml:space="preserve"> to award degrees.</w:t>
      </w:r>
    </w:p>
    <w:p w14:paraId="291B8352" w14:textId="77777777" w:rsidR="00815495" w:rsidRDefault="00815495" w:rsidP="00815495">
      <w:pPr>
        <w:pStyle w:val="ListParagraph"/>
        <w:spacing w:after="0"/>
        <w:ind w:left="1440"/>
        <w:rPr>
          <w:rFonts w:ascii="Arial" w:hAnsi="Arial" w:cs="Arial"/>
          <w:sz w:val="24"/>
          <w:szCs w:val="24"/>
        </w:rPr>
      </w:pPr>
    </w:p>
    <w:p w14:paraId="4F5E83E3" w14:textId="55197621" w:rsidR="00766047" w:rsidRPr="00766047" w:rsidRDefault="00766047" w:rsidP="00815495">
      <w:pPr>
        <w:pStyle w:val="ListParagraph"/>
        <w:spacing w:after="0"/>
        <w:ind w:left="426" w:hanging="426"/>
        <w:rPr>
          <w:rFonts w:ascii="Arial" w:hAnsi="Arial" w:cs="Arial"/>
          <w:b/>
          <w:bCs/>
          <w:sz w:val="24"/>
          <w:szCs w:val="24"/>
          <w:u w:val="single"/>
        </w:rPr>
      </w:pPr>
      <w:r w:rsidRPr="00766047">
        <w:rPr>
          <w:rFonts w:ascii="Arial" w:hAnsi="Arial" w:cs="Arial"/>
          <w:b/>
          <w:bCs/>
          <w:sz w:val="24"/>
          <w:szCs w:val="24"/>
          <w:u w:val="single"/>
        </w:rPr>
        <w:t xml:space="preserve">Possible </w:t>
      </w:r>
      <w:r>
        <w:rPr>
          <w:rFonts w:ascii="Arial" w:hAnsi="Arial" w:cs="Arial"/>
          <w:b/>
          <w:bCs/>
          <w:sz w:val="24"/>
          <w:szCs w:val="24"/>
          <w:u w:val="single"/>
        </w:rPr>
        <w:t>Wa</w:t>
      </w:r>
      <w:r w:rsidRPr="00766047">
        <w:rPr>
          <w:rFonts w:ascii="Arial" w:hAnsi="Arial" w:cs="Arial"/>
          <w:b/>
          <w:bCs/>
          <w:sz w:val="24"/>
          <w:szCs w:val="24"/>
          <w:u w:val="single"/>
        </w:rPr>
        <w:t xml:space="preserve">ys </w:t>
      </w:r>
      <w:r>
        <w:rPr>
          <w:rFonts w:ascii="Arial" w:hAnsi="Arial" w:cs="Arial"/>
          <w:b/>
          <w:bCs/>
          <w:sz w:val="24"/>
          <w:szCs w:val="24"/>
          <w:u w:val="single"/>
        </w:rPr>
        <w:t>F</w:t>
      </w:r>
      <w:r w:rsidRPr="00766047">
        <w:rPr>
          <w:rFonts w:ascii="Arial" w:hAnsi="Arial" w:cs="Arial"/>
          <w:b/>
          <w:bCs/>
          <w:sz w:val="24"/>
          <w:szCs w:val="24"/>
          <w:u w:val="single"/>
        </w:rPr>
        <w:t>orward</w:t>
      </w:r>
    </w:p>
    <w:p w14:paraId="7514259F" w14:textId="40836CB2" w:rsidR="00815495" w:rsidRDefault="00815495" w:rsidP="00815495">
      <w:pPr>
        <w:pStyle w:val="ListParagraph"/>
        <w:spacing w:after="0"/>
        <w:ind w:left="426" w:hanging="426"/>
        <w:rPr>
          <w:rFonts w:ascii="Arial" w:hAnsi="Arial" w:cs="Arial"/>
          <w:b/>
          <w:bCs/>
          <w:i/>
          <w:iCs/>
          <w:sz w:val="24"/>
          <w:szCs w:val="24"/>
        </w:rPr>
      </w:pPr>
    </w:p>
    <w:p w14:paraId="0CEDB94A" w14:textId="28C58C55" w:rsidR="00F7630A" w:rsidRDefault="00F7630A" w:rsidP="00815495">
      <w:pPr>
        <w:pStyle w:val="ListParagraph"/>
        <w:spacing w:after="0"/>
        <w:ind w:left="426" w:hanging="426"/>
        <w:rPr>
          <w:rFonts w:ascii="Arial" w:hAnsi="Arial" w:cs="Arial"/>
          <w:b/>
          <w:bCs/>
          <w:i/>
          <w:iCs/>
          <w:sz w:val="24"/>
          <w:szCs w:val="24"/>
        </w:rPr>
      </w:pPr>
      <w:r>
        <w:rPr>
          <w:rFonts w:ascii="Arial" w:hAnsi="Arial" w:cs="Arial"/>
          <w:b/>
          <w:bCs/>
          <w:i/>
          <w:iCs/>
          <w:sz w:val="24"/>
          <w:szCs w:val="24"/>
        </w:rPr>
        <w:t>Option 1</w:t>
      </w:r>
    </w:p>
    <w:p w14:paraId="3DA56B6E" w14:textId="77777777" w:rsidR="005C048B" w:rsidRDefault="005C048B" w:rsidP="00815495">
      <w:pPr>
        <w:pStyle w:val="ListParagraph"/>
        <w:spacing w:after="0"/>
        <w:ind w:left="426" w:hanging="426"/>
        <w:rPr>
          <w:rFonts w:ascii="Arial" w:hAnsi="Arial" w:cs="Arial"/>
          <w:b/>
          <w:bCs/>
          <w:i/>
          <w:iCs/>
          <w:sz w:val="24"/>
          <w:szCs w:val="24"/>
        </w:rPr>
      </w:pPr>
    </w:p>
    <w:p w14:paraId="37B4C0FE" w14:textId="2D9105D3" w:rsidR="00F7630A" w:rsidRDefault="00F7630A" w:rsidP="00F7630A">
      <w:pPr>
        <w:pStyle w:val="ListParagraph"/>
        <w:numPr>
          <w:ilvl w:val="0"/>
          <w:numId w:val="3"/>
        </w:numPr>
        <w:spacing w:after="0"/>
        <w:ind w:left="284" w:hanging="437"/>
        <w:rPr>
          <w:rFonts w:ascii="Arial" w:hAnsi="Arial" w:cs="Arial"/>
          <w:sz w:val="24"/>
          <w:szCs w:val="24"/>
        </w:rPr>
      </w:pPr>
      <w:r>
        <w:rPr>
          <w:rFonts w:ascii="Arial" w:hAnsi="Arial" w:cs="Arial"/>
          <w:sz w:val="24"/>
          <w:szCs w:val="24"/>
        </w:rPr>
        <w:t>DE could simply decide that since the last inspection</w:t>
      </w:r>
      <w:r w:rsidR="001A1D17">
        <w:rPr>
          <w:rFonts w:ascii="Arial" w:hAnsi="Arial" w:cs="Arial"/>
          <w:sz w:val="24"/>
          <w:szCs w:val="24"/>
        </w:rPr>
        <w:t>,</w:t>
      </w:r>
      <w:r>
        <w:rPr>
          <w:rFonts w:ascii="Arial" w:hAnsi="Arial" w:cs="Arial"/>
          <w:sz w:val="24"/>
          <w:szCs w:val="24"/>
        </w:rPr>
        <w:t xml:space="preserve"> </w:t>
      </w:r>
      <w:r w:rsidR="002479AA">
        <w:rPr>
          <w:rFonts w:ascii="Arial" w:hAnsi="Arial" w:cs="Arial"/>
          <w:sz w:val="24"/>
          <w:szCs w:val="24"/>
        </w:rPr>
        <w:t>programmes</w:t>
      </w:r>
      <w:r>
        <w:rPr>
          <w:rFonts w:ascii="Arial" w:hAnsi="Arial" w:cs="Arial"/>
          <w:sz w:val="24"/>
          <w:szCs w:val="24"/>
        </w:rPr>
        <w:t xml:space="preserve"> have not changed significantly in their scope and delivery; and therefore (in the absence of any prospect of GTCNI being able to undertake a directly comparable reaccreditation process) that DE should make a determination that “what was satisfactory </w:t>
      </w:r>
      <w:r w:rsidR="00A87C98">
        <w:rPr>
          <w:rFonts w:ascii="Arial" w:hAnsi="Arial" w:cs="Arial"/>
          <w:sz w:val="24"/>
          <w:szCs w:val="24"/>
        </w:rPr>
        <w:t xml:space="preserve">still remains </w:t>
      </w:r>
      <w:r>
        <w:rPr>
          <w:rFonts w:ascii="Arial" w:hAnsi="Arial" w:cs="Arial"/>
          <w:sz w:val="24"/>
          <w:szCs w:val="24"/>
        </w:rPr>
        <w:t xml:space="preserve">satisfactory” and so it would reapprove the </w:t>
      </w:r>
      <w:r w:rsidR="002479AA">
        <w:rPr>
          <w:rFonts w:ascii="Arial" w:hAnsi="Arial" w:cs="Arial"/>
          <w:sz w:val="24"/>
          <w:szCs w:val="24"/>
        </w:rPr>
        <w:t>programmes</w:t>
      </w:r>
      <w:r>
        <w:rPr>
          <w:rFonts w:ascii="Arial" w:hAnsi="Arial" w:cs="Arial"/>
          <w:sz w:val="24"/>
          <w:szCs w:val="24"/>
        </w:rPr>
        <w:t xml:space="preserve"> for a further </w:t>
      </w:r>
      <w:r w:rsidR="00A87C98">
        <w:rPr>
          <w:rFonts w:ascii="Arial" w:hAnsi="Arial" w:cs="Arial"/>
          <w:sz w:val="24"/>
          <w:szCs w:val="24"/>
        </w:rPr>
        <w:t>four</w:t>
      </w:r>
      <w:r w:rsidR="00BE1B96">
        <w:rPr>
          <w:rFonts w:ascii="Arial" w:hAnsi="Arial" w:cs="Arial"/>
          <w:sz w:val="24"/>
          <w:szCs w:val="24"/>
        </w:rPr>
        <w:t>-</w:t>
      </w:r>
      <w:r>
        <w:rPr>
          <w:rFonts w:ascii="Arial" w:hAnsi="Arial" w:cs="Arial"/>
          <w:sz w:val="24"/>
          <w:szCs w:val="24"/>
        </w:rPr>
        <w:t>year period.</w:t>
      </w:r>
    </w:p>
    <w:p w14:paraId="03420FFD" w14:textId="77777777" w:rsidR="00F7630A" w:rsidRDefault="00F7630A" w:rsidP="00F7630A">
      <w:pPr>
        <w:pStyle w:val="ListParagraph"/>
        <w:spacing w:after="0"/>
        <w:ind w:left="284"/>
        <w:rPr>
          <w:rFonts w:ascii="Arial" w:hAnsi="Arial" w:cs="Arial"/>
          <w:sz w:val="24"/>
          <w:szCs w:val="24"/>
        </w:rPr>
      </w:pPr>
    </w:p>
    <w:p w14:paraId="1A466662" w14:textId="67D6BD14" w:rsidR="0086780C" w:rsidRDefault="00F7630A" w:rsidP="00F7630A">
      <w:pPr>
        <w:pStyle w:val="ListParagraph"/>
        <w:numPr>
          <w:ilvl w:val="0"/>
          <w:numId w:val="3"/>
        </w:numPr>
        <w:spacing w:after="0"/>
        <w:ind w:left="284" w:hanging="437"/>
        <w:rPr>
          <w:rFonts w:ascii="Arial" w:hAnsi="Arial" w:cs="Arial"/>
          <w:sz w:val="24"/>
          <w:szCs w:val="24"/>
        </w:rPr>
      </w:pPr>
      <w:r>
        <w:rPr>
          <w:rFonts w:ascii="Arial" w:hAnsi="Arial" w:cs="Arial"/>
          <w:sz w:val="24"/>
          <w:szCs w:val="24"/>
        </w:rPr>
        <w:t>This app</w:t>
      </w:r>
      <w:r w:rsidR="0086780C">
        <w:rPr>
          <w:rFonts w:ascii="Arial" w:hAnsi="Arial" w:cs="Arial"/>
          <w:sz w:val="24"/>
          <w:szCs w:val="24"/>
        </w:rPr>
        <w:t xml:space="preserve">roach would be defensible on the grounds that GTCNI is currently </w:t>
      </w:r>
      <w:r w:rsidR="001A1D17">
        <w:rPr>
          <w:rFonts w:ascii="Arial" w:hAnsi="Arial" w:cs="Arial"/>
          <w:sz w:val="24"/>
          <w:szCs w:val="24"/>
        </w:rPr>
        <w:t xml:space="preserve">only </w:t>
      </w:r>
      <w:r w:rsidR="0086780C">
        <w:rPr>
          <w:rFonts w:ascii="Arial" w:hAnsi="Arial" w:cs="Arial"/>
          <w:sz w:val="24"/>
          <w:szCs w:val="24"/>
        </w:rPr>
        <w:t xml:space="preserve">operating </w:t>
      </w:r>
      <w:r w:rsidR="00A87C98">
        <w:rPr>
          <w:rFonts w:ascii="Arial" w:hAnsi="Arial" w:cs="Arial"/>
          <w:sz w:val="24"/>
          <w:szCs w:val="24"/>
        </w:rPr>
        <w:t>to deliver its core functions</w:t>
      </w:r>
      <w:r w:rsidR="001A1D17">
        <w:rPr>
          <w:rFonts w:ascii="Arial" w:hAnsi="Arial" w:cs="Arial"/>
          <w:sz w:val="24"/>
          <w:szCs w:val="24"/>
        </w:rPr>
        <w:t xml:space="preserve"> and</w:t>
      </w:r>
      <w:r w:rsidR="00A87C98">
        <w:rPr>
          <w:rFonts w:ascii="Arial" w:hAnsi="Arial" w:cs="Arial"/>
          <w:sz w:val="24"/>
          <w:szCs w:val="24"/>
        </w:rPr>
        <w:t xml:space="preserve">, given </w:t>
      </w:r>
      <w:r w:rsidR="0086780C">
        <w:rPr>
          <w:rFonts w:ascii="Arial" w:hAnsi="Arial" w:cs="Arial"/>
          <w:sz w:val="24"/>
          <w:szCs w:val="24"/>
        </w:rPr>
        <w:t xml:space="preserve">the absence of its Council and its </w:t>
      </w:r>
      <w:r w:rsidR="00A87C98">
        <w:rPr>
          <w:rFonts w:ascii="Arial" w:hAnsi="Arial" w:cs="Arial"/>
          <w:sz w:val="24"/>
          <w:szCs w:val="24"/>
        </w:rPr>
        <w:t xml:space="preserve">planned </w:t>
      </w:r>
      <w:r w:rsidR="0086780C">
        <w:rPr>
          <w:rFonts w:ascii="Arial" w:hAnsi="Arial" w:cs="Arial"/>
          <w:sz w:val="24"/>
          <w:szCs w:val="24"/>
        </w:rPr>
        <w:t>closure</w:t>
      </w:r>
      <w:r w:rsidR="001A1D17">
        <w:rPr>
          <w:rFonts w:ascii="Arial" w:hAnsi="Arial" w:cs="Arial"/>
          <w:sz w:val="24"/>
          <w:szCs w:val="24"/>
        </w:rPr>
        <w:t>,</w:t>
      </w:r>
      <w:r w:rsidR="00E637D4">
        <w:rPr>
          <w:rFonts w:ascii="Arial" w:hAnsi="Arial" w:cs="Arial"/>
          <w:sz w:val="24"/>
          <w:szCs w:val="24"/>
        </w:rPr>
        <w:t xml:space="preserve"> i</w:t>
      </w:r>
      <w:r w:rsidR="00A87C98">
        <w:rPr>
          <w:rFonts w:ascii="Arial" w:hAnsi="Arial" w:cs="Arial"/>
          <w:sz w:val="24"/>
          <w:szCs w:val="24"/>
        </w:rPr>
        <w:t xml:space="preserve">t is unable to </w:t>
      </w:r>
      <w:r w:rsidR="001A1D17">
        <w:rPr>
          <w:rFonts w:ascii="Arial" w:hAnsi="Arial" w:cs="Arial"/>
          <w:sz w:val="24"/>
          <w:szCs w:val="24"/>
        </w:rPr>
        <w:t>m</w:t>
      </w:r>
      <w:r w:rsidR="0086780C">
        <w:rPr>
          <w:rFonts w:ascii="Arial" w:hAnsi="Arial" w:cs="Arial"/>
          <w:sz w:val="24"/>
          <w:szCs w:val="24"/>
        </w:rPr>
        <w:t>ak</w:t>
      </w:r>
      <w:r w:rsidR="00A87C98">
        <w:rPr>
          <w:rFonts w:ascii="Arial" w:hAnsi="Arial" w:cs="Arial"/>
          <w:sz w:val="24"/>
          <w:szCs w:val="24"/>
        </w:rPr>
        <w:t>e</w:t>
      </w:r>
      <w:r w:rsidR="0086780C">
        <w:rPr>
          <w:rFonts w:ascii="Arial" w:hAnsi="Arial" w:cs="Arial"/>
          <w:sz w:val="24"/>
          <w:szCs w:val="24"/>
        </w:rPr>
        <w:t xml:space="preserve"> any major new strategic decisions</w:t>
      </w:r>
      <w:r w:rsidR="00E637D4">
        <w:rPr>
          <w:rFonts w:ascii="Arial" w:hAnsi="Arial" w:cs="Arial"/>
          <w:sz w:val="24"/>
          <w:szCs w:val="24"/>
        </w:rPr>
        <w:t>. E</w:t>
      </w:r>
      <w:r w:rsidR="0086780C">
        <w:rPr>
          <w:rFonts w:ascii="Arial" w:hAnsi="Arial" w:cs="Arial"/>
          <w:sz w:val="24"/>
          <w:szCs w:val="24"/>
        </w:rPr>
        <w:t>qually</w:t>
      </w:r>
      <w:r w:rsidR="00E637D4">
        <w:rPr>
          <w:rFonts w:ascii="Arial" w:hAnsi="Arial" w:cs="Arial"/>
          <w:sz w:val="24"/>
          <w:szCs w:val="24"/>
        </w:rPr>
        <w:t>, it currently</w:t>
      </w:r>
      <w:r w:rsidR="0086780C">
        <w:rPr>
          <w:rFonts w:ascii="Arial" w:hAnsi="Arial" w:cs="Arial"/>
          <w:sz w:val="24"/>
          <w:szCs w:val="24"/>
        </w:rPr>
        <w:t xml:space="preserve"> lack</w:t>
      </w:r>
      <w:r w:rsidR="00E637D4">
        <w:rPr>
          <w:rFonts w:ascii="Arial" w:hAnsi="Arial" w:cs="Arial"/>
          <w:sz w:val="24"/>
          <w:szCs w:val="24"/>
        </w:rPr>
        <w:t>s</w:t>
      </w:r>
      <w:r w:rsidR="0086780C">
        <w:rPr>
          <w:rFonts w:ascii="Arial" w:hAnsi="Arial" w:cs="Arial"/>
          <w:sz w:val="24"/>
          <w:szCs w:val="24"/>
        </w:rPr>
        <w:t xml:space="preserve"> the </w:t>
      </w:r>
      <w:r w:rsidR="00800F44">
        <w:rPr>
          <w:rFonts w:ascii="Arial" w:hAnsi="Arial" w:cs="Arial"/>
          <w:sz w:val="24"/>
          <w:szCs w:val="24"/>
        </w:rPr>
        <w:t xml:space="preserve">educational </w:t>
      </w:r>
      <w:r w:rsidR="0086780C">
        <w:rPr>
          <w:rFonts w:ascii="Arial" w:hAnsi="Arial" w:cs="Arial"/>
          <w:sz w:val="24"/>
          <w:szCs w:val="24"/>
        </w:rPr>
        <w:t xml:space="preserve">expertise to repeat the </w:t>
      </w:r>
      <w:r w:rsidR="00E637D4">
        <w:rPr>
          <w:rFonts w:ascii="Arial" w:hAnsi="Arial" w:cs="Arial"/>
          <w:sz w:val="24"/>
          <w:szCs w:val="24"/>
        </w:rPr>
        <w:t xml:space="preserve">reaccreditation </w:t>
      </w:r>
      <w:r w:rsidR="0086780C">
        <w:rPr>
          <w:rFonts w:ascii="Arial" w:hAnsi="Arial" w:cs="Arial"/>
          <w:sz w:val="24"/>
          <w:szCs w:val="24"/>
        </w:rPr>
        <w:t xml:space="preserve">process used previously. </w:t>
      </w:r>
    </w:p>
    <w:p w14:paraId="19D27E91" w14:textId="77777777" w:rsidR="0086780C" w:rsidRPr="0086780C" w:rsidRDefault="0086780C" w:rsidP="0086780C">
      <w:pPr>
        <w:pStyle w:val="ListParagraph"/>
        <w:rPr>
          <w:rFonts w:ascii="Arial" w:hAnsi="Arial" w:cs="Arial"/>
          <w:sz w:val="24"/>
          <w:szCs w:val="24"/>
        </w:rPr>
      </w:pPr>
    </w:p>
    <w:p w14:paraId="5996A75A" w14:textId="084EBFB6" w:rsidR="0086780C" w:rsidRPr="002D1081" w:rsidRDefault="002D1081" w:rsidP="0086780C">
      <w:pPr>
        <w:pStyle w:val="ListParagraph"/>
        <w:numPr>
          <w:ilvl w:val="0"/>
          <w:numId w:val="3"/>
        </w:numPr>
        <w:spacing w:after="0"/>
        <w:ind w:left="284" w:hanging="437"/>
        <w:rPr>
          <w:rFonts w:ascii="Arial" w:hAnsi="Arial" w:cs="Arial"/>
          <w:sz w:val="24"/>
          <w:szCs w:val="24"/>
        </w:rPr>
      </w:pPr>
      <w:r w:rsidRPr="002D1081">
        <w:rPr>
          <w:rFonts w:ascii="Arial" w:hAnsi="Arial" w:cs="Arial"/>
          <w:sz w:val="24"/>
          <w:szCs w:val="24"/>
        </w:rPr>
        <w:t>This approach could only be claimed to have addressed one of the four pillars of appraisal used previously (</w:t>
      </w:r>
      <w:r w:rsidRPr="002D1081">
        <w:rPr>
          <w:rFonts w:ascii="Arial" w:hAnsi="Arial" w:cs="Arial"/>
          <w:b/>
          <w:bCs/>
          <w:i/>
          <w:iCs/>
          <w:sz w:val="24"/>
          <w:szCs w:val="24"/>
        </w:rPr>
        <w:t>DE Approval</w:t>
      </w:r>
      <w:r w:rsidRPr="002D1081">
        <w:rPr>
          <w:rFonts w:ascii="Arial" w:hAnsi="Arial" w:cs="Arial"/>
          <w:sz w:val="24"/>
          <w:szCs w:val="24"/>
        </w:rPr>
        <w:t xml:space="preserve">) and </w:t>
      </w:r>
      <w:r w:rsidR="00F7630A" w:rsidRPr="002D1081">
        <w:rPr>
          <w:rFonts w:ascii="Arial" w:hAnsi="Arial" w:cs="Arial"/>
          <w:sz w:val="24"/>
          <w:szCs w:val="24"/>
        </w:rPr>
        <w:t xml:space="preserve">runs the risks of political, media and public criticism </w:t>
      </w:r>
      <w:r w:rsidR="0086780C" w:rsidRPr="002D1081">
        <w:rPr>
          <w:rFonts w:ascii="Arial" w:hAnsi="Arial" w:cs="Arial"/>
          <w:sz w:val="24"/>
          <w:szCs w:val="24"/>
        </w:rPr>
        <w:t xml:space="preserve">(and potentially criticism from within the profession) that the Department and HEIs have chosen to take the easiest route forward for themselves, knowingly risking </w:t>
      </w:r>
      <w:r w:rsidR="00F7630A" w:rsidRPr="002D1081">
        <w:rPr>
          <w:rFonts w:ascii="Arial" w:hAnsi="Arial" w:cs="Arial"/>
          <w:sz w:val="24"/>
          <w:szCs w:val="24"/>
        </w:rPr>
        <w:t xml:space="preserve">the quality of </w:t>
      </w:r>
      <w:r w:rsidR="0086780C" w:rsidRPr="002D1081">
        <w:rPr>
          <w:rFonts w:ascii="Arial" w:hAnsi="Arial" w:cs="Arial"/>
          <w:sz w:val="24"/>
          <w:szCs w:val="24"/>
        </w:rPr>
        <w:t xml:space="preserve">our </w:t>
      </w:r>
      <w:r w:rsidR="00F7630A" w:rsidRPr="002D1081">
        <w:rPr>
          <w:rFonts w:ascii="Arial" w:hAnsi="Arial" w:cs="Arial"/>
          <w:sz w:val="24"/>
          <w:szCs w:val="24"/>
        </w:rPr>
        <w:t xml:space="preserve">ITE provision and, by implication, the quality of our teaching workforce. </w:t>
      </w:r>
    </w:p>
    <w:p w14:paraId="6EAC0DB4" w14:textId="77777777" w:rsidR="0086780C" w:rsidRDefault="0086780C" w:rsidP="0086780C">
      <w:pPr>
        <w:pStyle w:val="ListParagraph"/>
        <w:spacing w:after="0"/>
        <w:ind w:left="284"/>
        <w:rPr>
          <w:rFonts w:ascii="Arial" w:hAnsi="Arial" w:cs="Arial"/>
          <w:sz w:val="24"/>
          <w:szCs w:val="24"/>
        </w:rPr>
      </w:pPr>
    </w:p>
    <w:p w14:paraId="61EDAD75" w14:textId="77777777" w:rsidR="00E637D4" w:rsidRDefault="00E637D4">
      <w:pPr>
        <w:rPr>
          <w:rFonts w:ascii="Arial" w:hAnsi="Arial" w:cs="Arial"/>
          <w:b/>
          <w:bCs/>
          <w:i/>
          <w:iCs/>
          <w:sz w:val="24"/>
          <w:szCs w:val="24"/>
        </w:rPr>
      </w:pPr>
      <w:r>
        <w:rPr>
          <w:rFonts w:ascii="Arial" w:hAnsi="Arial" w:cs="Arial"/>
          <w:b/>
          <w:bCs/>
          <w:i/>
          <w:iCs/>
          <w:sz w:val="24"/>
          <w:szCs w:val="24"/>
        </w:rPr>
        <w:br w:type="page"/>
      </w:r>
    </w:p>
    <w:p w14:paraId="11BAC884" w14:textId="05F9F9B8" w:rsidR="0086780C" w:rsidRPr="0086780C" w:rsidRDefault="0086780C" w:rsidP="0086780C">
      <w:pPr>
        <w:spacing w:after="0"/>
        <w:rPr>
          <w:rFonts w:ascii="Arial" w:hAnsi="Arial" w:cs="Arial"/>
          <w:b/>
          <w:bCs/>
          <w:i/>
          <w:iCs/>
          <w:sz w:val="24"/>
          <w:szCs w:val="24"/>
        </w:rPr>
      </w:pPr>
      <w:r w:rsidRPr="0086780C">
        <w:rPr>
          <w:rFonts w:ascii="Arial" w:hAnsi="Arial" w:cs="Arial"/>
          <w:b/>
          <w:bCs/>
          <w:i/>
          <w:iCs/>
          <w:sz w:val="24"/>
          <w:szCs w:val="24"/>
        </w:rPr>
        <w:lastRenderedPageBreak/>
        <w:t>Option 2</w:t>
      </w:r>
    </w:p>
    <w:p w14:paraId="5E716D85" w14:textId="77777777" w:rsidR="00F7630A" w:rsidRDefault="00F7630A" w:rsidP="00F7630A">
      <w:pPr>
        <w:pStyle w:val="ListParagraph"/>
        <w:spacing w:after="0"/>
        <w:ind w:left="284"/>
        <w:rPr>
          <w:rFonts w:ascii="Arial" w:hAnsi="Arial" w:cs="Arial"/>
          <w:sz w:val="24"/>
          <w:szCs w:val="24"/>
        </w:rPr>
      </w:pPr>
    </w:p>
    <w:p w14:paraId="718AEC57" w14:textId="041E4B4C" w:rsidR="0086780C" w:rsidRPr="005C048B" w:rsidRDefault="005C048B" w:rsidP="00F27E26">
      <w:pPr>
        <w:pStyle w:val="ListParagraph"/>
        <w:numPr>
          <w:ilvl w:val="0"/>
          <w:numId w:val="3"/>
        </w:numPr>
        <w:spacing w:after="0"/>
        <w:ind w:left="284" w:hanging="437"/>
        <w:rPr>
          <w:rFonts w:ascii="Arial" w:hAnsi="Arial" w:cs="Arial"/>
          <w:sz w:val="24"/>
          <w:szCs w:val="24"/>
        </w:rPr>
      </w:pPr>
      <w:r w:rsidRPr="005C048B">
        <w:rPr>
          <w:rFonts w:ascii="Arial" w:hAnsi="Arial" w:cs="Arial"/>
          <w:sz w:val="24"/>
          <w:szCs w:val="24"/>
        </w:rPr>
        <w:t xml:space="preserve">The objective for ETI’s inspections of ITE </w:t>
      </w:r>
      <w:r w:rsidR="002479AA">
        <w:rPr>
          <w:rFonts w:ascii="Arial" w:hAnsi="Arial" w:cs="Arial"/>
          <w:sz w:val="24"/>
          <w:szCs w:val="24"/>
        </w:rPr>
        <w:t>programmes</w:t>
      </w:r>
      <w:r w:rsidRPr="005C048B">
        <w:rPr>
          <w:rFonts w:ascii="Arial" w:hAnsi="Arial" w:cs="Arial"/>
          <w:sz w:val="24"/>
          <w:szCs w:val="24"/>
        </w:rPr>
        <w:t xml:space="preserve"> is primarily to confirm that the </w:t>
      </w:r>
      <w:r w:rsidR="002479AA">
        <w:rPr>
          <w:rFonts w:ascii="Arial" w:hAnsi="Arial" w:cs="Arial"/>
          <w:sz w:val="24"/>
          <w:szCs w:val="24"/>
        </w:rPr>
        <w:t>programmes</w:t>
      </w:r>
      <w:r w:rsidRPr="005C048B">
        <w:rPr>
          <w:rFonts w:ascii="Arial" w:hAnsi="Arial" w:cs="Arial"/>
          <w:sz w:val="24"/>
          <w:szCs w:val="24"/>
        </w:rPr>
        <w:t xml:space="preserve"> are continuing to provide suitable professional preparation for their students, equipping them with the knowledge and skills to deliver the NI Curriculum effectively. As such, an inspection process could still be run as part of ETI’s 2023-24 work programme</w:t>
      </w:r>
      <w:r w:rsidR="0063050F">
        <w:rPr>
          <w:rFonts w:ascii="Arial" w:hAnsi="Arial" w:cs="Arial"/>
          <w:sz w:val="24"/>
          <w:szCs w:val="24"/>
        </w:rPr>
        <w:t>,</w:t>
      </w:r>
      <w:r w:rsidRPr="005C048B">
        <w:rPr>
          <w:rFonts w:ascii="Arial" w:hAnsi="Arial" w:cs="Arial"/>
          <w:sz w:val="24"/>
          <w:szCs w:val="24"/>
        </w:rPr>
        <w:t xml:space="preserve"> and the </w:t>
      </w:r>
      <w:r w:rsidR="0086780C" w:rsidRPr="005C048B">
        <w:rPr>
          <w:rFonts w:ascii="Arial" w:hAnsi="Arial" w:cs="Arial"/>
          <w:sz w:val="24"/>
          <w:szCs w:val="24"/>
        </w:rPr>
        <w:t xml:space="preserve">Department could </w:t>
      </w:r>
      <w:r w:rsidRPr="005C048B">
        <w:rPr>
          <w:rFonts w:ascii="Arial" w:hAnsi="Arial" w:cs="Arial"/>
          <w:sz w:val="24"/>
          <w:szCs w:val="24"/>
        </w:rPr>
        <w:t xml:space="preserve">then </w:t>
      </w:r>
      <w:r w:rsidR="0086780C" w:rsidRPr="005C048B">
        <w:rPr>
          <w:rFonts w:ascii="Arial" w:hAnsi="Arial" w:cs="Arial"/>
          <w:sz w:val="24"/>
          <w:szCs w:val="24"/>
        </w:rPr>
        <w:t>cho</w:t>
      </w:r>
      <w:r w:rsidR="00A33BAC" w:rsidRPr="005C048B">
        <w:rPr>
          <w:rFonts w:ascii="Arial" w:hAnsi="Arial" w:cs="Arial"/>
          <w:sz w:val="24"/>
          <w:szCs w:val="24"/>
        </w:rPr>
        <w:t>o</w:t>
      </w:r>
      <w:r w:rsidR="0086780C" w:rsidRPr="005C048B">
        <w:rPr>
          <w:rFonts w:ascii="Arial" w:hAnsi="Arial" w:cs="Arial"/>
          <w:sz w:val="24"/>
          <w:szCs w:val="24"/>
        </w:rPr>
        <w:t>se to provide four</w:t>
      </w:r>
      <w:r w:rsidR="00BE1B96">
        <w:rPr>
          <w:rFonts w:ascii="Arial" w:hAnsi="Arial" w:cs="Arial"/>
          <w:sz w:val="24"/>
          <w:szCs w:val="24"/>
        </w:rPr>
        <w:t>-</w:t>
      </w:r>
      <w:r w:rsidR="0086780C" w:rsidRPr="005C048B">
        <w:rPr>
          <w:rFonts w:ascii="Arial" w:hAnsi="Arial" w:cs="Arial"/>
          <w:sz w:val="24"/>
          <w:szCs w:val="24"/>
        </w:rPr>
        <w:t xml:space="preserve">year reapprovals </w:t>
      </w:r>
      <w:r w:rsidR="00A33BAC" w:rsidRPr="005C048B">
        <w:rPr>
          <w:rFonts w:ascii="Arial" w:hAnsi="Arial" w:cs="Arial"/>
          <w:sz w:val="24"/>
          <w:szCs w:val="24"/>
        </w:rPr>
        <w:t xml:space="preserve">for all ITE </w:t>
      </w:r>
      <w:r w:rsidR="002479AA">
        <w:rPr>
          <w:rFonts w:ascii="Arial" w:hAnsi="Arial" w:cs="Arial"/>
          <w:sz w:val="24"/>
          <w:szCs w:val="24"/>
        </w:rPr>
        <w:t>programmes</w:t>
      </w:r>
      <w:r w:rsidR="00A33BAC" w:rsidRPr="005C048B">
        <w:rPr>
          <w:rFonts w:ascii="Arial" w:hAnsi="Arial" w:cs="Arial"/>
          <w:sz w:val="24"/>
          <w:szCs w:val="24"/>
        </w:rPr>
        <w:t xml:space="preserve"> solely on the basis of </w:t>
      </w:r>
      <w:r>
        <w:rPr>
          <w:rFonts w:ascii="Arial" w:hAnsi="Arial" w:cs="Arial"/>
          <w:sz w:val="24"/>
          <w:szCs w:val="24"/>
        </w:rPr>
        <w:t>ETI’s findings</w:t>
      </w:r>
      <w:r w:rsidR="00A33BAC" w:rsidRPr="005C048B">
        <w:rPr>
          <w:rFonts w:ascii="Arial" w:hAnsi="Arial" w:cs="Arial"/>
          <w:sz w:val="24"/>
          <w:szCs w:val="24"/>
        </w:rPr>
        <w:t>.</w:t>
      </w:r>
      <w:r w:rsidR="00A33BAC" w:rsidRPr="005C048B">
        <w:rPr>
          <w:rFonts w:ascii="Arial" w:hAnsi="Arial" w:cs="Arial"/>
          <w:sz w:val="24"/>
          <w:szCs w:val="24"/>
        </w:rPr>
        <w:br/>
        <w:t>.</w:t>
      </w:r>
    </w:p>
    <w:p w14:paraId="0E29699A" w14:textId="3501648C" w:rsidR="00A33BAC" w:rsidRDefault="00A33BAC" w:rsidP="00F27E26">
      <w:pPr>
        <w:pStyle w:val="ListParagraph"/>
        <w:numPr>
          <w:ilvl w:val="0"/>
          <w:numId w:val="3"/>
        </w:numPr>
        <w:spacing w:after="0"/>
        <w:ind w:left="284" w:hanging="437"/>
        <w:rPr>
          <w:rFonts w:ascii="Arial" w:hAnsi="Arial" w:cs="Arial"/>
          <w:sz w:val="24"/>
          <w:szCs w:val="24"/>
        </w:rPr>
      </w:pPr>
      <w:r>
        <w:rPr>
          <w:rFonts w:ascii="Arial" w:hAnsi="Arial" w:cs="Arial"/>
          <w:sz w:val="24"/>
          <w:szCs w:val="24"/>
        </w:rPr>
        <w:t xml:space="preserve">The previous round of </w:t>
      </w:r>
      <w:r w:rsidR="005C048B">
        <w:rPr>
          <w:rFonts w:ascii="Arial" w:hAnsi="Arial" w:cs="Arial"/>
          <w:sz w:val="24"/>
          <w:szCs w:val="24"/>
        </w:rPr>
        <w:t xml:space="preserve">ETI </w:t>
      </w:r>
      <w:r>
        <w:rPr>
          <w:rFonts w:ascii="Arial" w:hAnsi="Arial" w:cs="Arial"/>
          <w:sz w:val="24"/>
          <w:szCs w:val="24"/>
        </w:rPr>
        <w:t>inspection</w:t>
      </w:r>
      <w:r w:rsidR="005C048B">
        <w:rPr>
          <w:rFonts w:ascii="Arial" w:hAnsi="Arial" w:cs="Arial"/>
          <w:sz w:val="24"/>
          <w:szCs w:val="24"/>
        </w:rPr>
        <w:t>s</w:t>
      </w:r>
      <w:r>
        <w:rPr>
          <w:rFonts w:ascii="Arial" w:hAnsi="Arial" w:cs="Arial"/>
          <w:sz w:val="24"/>
          <w:szCs w:val="24"/>
        </w:rPr>
        <w:t xml:space="preserve"> was unable to fully complete </w:t>
      </w:r>
      <w:r w:rsidR="005C048B">
        <w:rPr>
          <w:rFonts w:ascii="Arial" w:hAnsi="Arial" w:cs="Arial"/>
          <w:sz w:val="24"/>
          <w:szCs w:val="24"/>
        </w:rPr>
        <w:t>its intended ‘</w:t>
      </w:r>
      <w:r>
        <w:rPr>
          <w:rFonts w:ascii="Arial" w:hAnsi="Arial" w:cs="Arial"/>
          <w:sz w:val="24"/>
          <w:szCs w:val="24"/>
        </w:rPr>
        <w:t>in-</w:t>
      </w:r>
      <w:proofErr w:type="spellStart"/>
      <w:r>
        <w:rPr>
          <w:rFonts w:ascii="Arial" w:hAnsi="Arial" w:cs="Arial"/>
          <w:sz w:val="24"/>
          <w:szCs w:val="24"/>
        </w:rPr>
        <w:t>class</w:t>
      </w:r>
      <w:r w:rsidR="005C048B">
        <w:rPr>
          <w:rFonts w:ascii="Arial" w:hAnsi="Arial" w:cs="Arial"/>
          <w:sz w:val="24"/>
          <w:szCs w:val="24"/>
        </w:rPr>
        <w:t>’</w:t>
      </w:r>
      <w:proofErr w:type="spellEnd"/>
      <w:r>
        <w:rPr>
          <w:rFonts w:ascii="Arial" w:hAnsi="Arial" w:cs="Arial"/>
          <w:sz w:val="24"/>
          <w:szCs w:val="24"/>
        </w:rPr>
        <w:t xml:space="preserve"> observations before the Covid-19 pandemic began to disrupt in-person </w:t>
      </w:r>
      <w:r w:rsidR="005C048B">
        <w:rPr>
          <w:rFonts w:ascii="Arial" w:hAnsi="Arial" w:cs="Arial"/>
          <w:sz w:val="24"/>
          <w:szCs w:val="24"/>
        </w:rPr>
        <w:t>lessons and lectures</w:t>
      </w:r>
      <w:r>
        <w:rPr>
          <w:rFonts w:ascii="Arial" w:hAnsi="Arial" w:cs="Arial"/>
          <w:sz w:val="24"/>
          <w:szCs w:val="24"/>
        </w:rPr>
        <w:t xml:space="preserve">. These factors should not impact on inspections during 2023-24 and so, </w:t>
      </w:r>
      <w:r w:rsidR="005C048B">
        <w:rPr>
          <w:rFonts w:ascii="Arial" w:hAnsi="Arial" w:cs="Arial"/>
          <w:sz w:val="24"/>
          <w:szCs w:val="24"/>
        </w:rPr>
        <w:t xml:space="preserve">arguably, a fresh series of </w:t>
      </w:r>
      <w:r>
        <w:rPr>
          <w:rFonts w:ascii="Arial" w:hAnsi="Arial" w:cs="Arial"/>
          <w:sz w:val="24"/>
          <w:szCs w:val="24"/>
        </w:rPr>
        <w:t xml:space="preserve">ETI </w:t>
      </w:r>
      <w:r w:rsidR="005C048B">
        <w:rPr>
          <w:rFonts w:ascii="Arial" w:hAnsi="Arial" w:cs="Arial"/>
          <w:sz w:val="24"/>
          <w:szCs w:val="24"/>
        </w:rPr>
        <w:t>inspections would provide an even more robust basis for DE to make a reapproval decision.</w:t>
      </w:r>
      <w:r>
        <w:rPr>
          <w:rFonts w:ascii="Arial" w:hAnsi="Arial" w:cs="Arial"/>
          <w:sz w:val="24"/>
          <w:szCs w:val="24"/>
        </w:rPr>
        <w:br/>
      </w:r>
    </w:p>
    <w:p w14:paraId="1315982E" w14:textId="4192A61B" w:rsidR="00A33BAC" w:rsidRDefault="00A33BAC" w:rsidP="00F27E26">
      <w:pPr>
        <w:pStyle w:val="ListParagraph"/>
        <w:numPr>
          <w:ilvl w:val="0"/>
          <w:numId w:val="3"/>
        </w:numPr>
        <w:spacing w:after="0"/>
        <w:ind w:left="284" w:hanging="437"/>
        <w:rPr>
          <w:rFonts w:ascii="Arial" w:hAnsi="Arial" w:cs="Arial"/>
          <w:sz w:val="24"/>
          <w:szCs w:val="24"/>
        </w:rPr>
      </w:pPr>
      <w:r>
        <w:rPr>
          <w:rFonts w:ascii="Arial" w:hAnsi="Arial" w:cs="Arial"/>
          <w:sz w:val="24"/>
          <w:szCs w:val="24"/>
        </w:rPr>
        <w:t xml:space="preserve">Subject to ETI’s conclusions, this would provide a clear evidence base that the </w:t>
      </w:r>
      <w:r w:rsidR="002479AA">
        <w:rPr>
          <w:rFonts w:ascii="Arial" w:hAnsi="Arial" w:cs="Arial"/>
          <w:sz w:val="24"/>
          <w:szCs w:val="24"/>
        </w:rPr>
        <w:t>programmes</w:t>
      </w:r>
      <w:r>
        <w:rPr>
          <w:rFonts w:ascii="Arial" w:hAnsi="Arial" w:cs="Arial"/>
          <w:sz w:val="24"/>
          <w:szCs w:val="24"/>
        </w:rPr>
        <w:t xml:space="preserve"> remain fit for purpose and well-aligned to the needs of the Northern Ireland Curriculum.</w:t>
      </w:r>
      <w:r w:rsidR="002D1081">
        <w:rPr>
          <w:rFonts w:ascii="Arial" w:hAnsi="Arial" w:cs="Arial"/>
          <w:sz w:val="24"/>
          <w:szCs w:val="24"/>
        </w:rPr>
        <w:t xml:space="preserve"> In re-approving all existing </w:t>
      </w:r>
      <w:r w:rsidR="002479AA">
        <w:rPr>
          <w:rFonts w:ascii="Arial" w:hAnsi="Arial" w:cs="Arial"/>
          <w:sz w:val="24"/>
          <w:szCs w:val="24"/>
        </w:rPr>
        <w:t>programmes</w:t>
      </w:r>
      <w:r w:rsidR="002D1081">
        <w:rPr>
          <w:rFonts w:ascii="Arial" w:hAnsi="Arial" w:cs="Arial"/>
          <w:sz w:val="24"/>
          <w:szCs w:val="24"/>
        </w:rPr>
        <w:t xml:space="preserve"> on this basis, this approach would address two of the four pillars of appraisal used previously (</w:t>
      </w:r>
      <w:r w:rsidR="002D1081" w:rsidRPr="002D1081">
        <w:rPr>
          <w:rFonts w:ascii="Arial" w:hAnsi="Arial" w:cs="Arial"/>
          <w:b/>
          <w:bCs/>
          <w:i/>
          <w:iCs/>
          <w:sz w:val="24"/>
          <w:szCs w:val="24"/>
        </w:rPr>
        <w:t>ETI Inspection</w:t>
      </w:r>
      <w:r w:rsidR="002D1081">
        <w:rPr>
          <w:rFonts w:ascii="Arial" w:hAnsi="Arial" w:cs="Arial"/>
          <w:sz w:val="24"/>
          <w:szCs w:val="24"/>
        </w:rPr>
        <w:t xml:space="preserve"> and </w:t>
      </w:r>
      <w:r w:rsidR="002D1081" w:rsidRPr="002D1081">
        <w:rPr>
          <w:rFonts w:ascii="Arial" w:hAnsi="Arial" w:cs="Arial"/>
          <w:b/>
          <w:bCs/>
          <w:i/>
          <w:iCs/>
          <w:sz w:val="24"/>
          <w:szCs w:val="24"/>
        </w:rPr>
        <w:t>DE Approval</w:t>
      </w:r>
      <w:r w:rsidR="002D1081">
        <w:rPr>
          <w:rFonts w:ascii="Arial" w:hAnsi="Arial" w:cs="Arial"/>
          <w:sz w:val="24"/>
          <w:szCs w:val="24"/>
        </w:rPr>
        <w:t>).</w:t>
      </w:r>
    </w:p>
    <w:p w14:paraId="45610D76" w14:textId="77777777" w:rsidR="002D1081" w:rsidRDefault="002D1081" w:rsidP="002D1081">
      <w:pPr>
        <w:pStyle w:val="ListParagraph"/>
        <w:spacing w:after="0"/>
        <w:ind w:left="284"/>
        <w:rPr>
          <w:rFonts w:ascii="Arial" w:hAnsi="Arial" w:cs="Arial"/>
          <w:sz w:val="24"/>
          <w:szCs w:val="24"/>
        </w:rPr>
      </w:pPr>
    </w:p>
    <w:p w14:paraId="2DD4DFC9" w14:textId="002E8E6A" w:rsidR="00A33BAC" w:rsidRDefault="002D1081" w:rsidP="005C048B">
      <w:pPr>
        <w:spacing w:after="0"/>
        <w:rPr>
          <w:rFonts w:ascii="Arial" w:hAnsi="Arial" w:cs="Arial"/>
          <w:b/>
          <w:bCs/>
          <w:i/>
          <w:iCs/>
          <w:sz w:val="24"/>
          <w:szCs w:val="24"/>
        </w:rPr>
      </w:pPr>
      <w:r w:rsidRPr="002D1081">
        <w:rPr>
          <w:rFonts w:ascii="Arial" w:hAnsi="Arial" w:cs="Arial"/>
          <w:b/>
          <w:bCs/>
          <w:i/>
          <w:iCs/>
          <w:sz w:val="24"/>
          <w:szCs w:val="24"/>
        </w:rPr>
        <w:t xml:space="preserve">Option </w:t>
      </w:r>
      <w:r>
        <w:rPr>
          <w:rFonts w:ascii="Arial" w:hAnsi="Arial" w:cs="Arial"/>
          <w:b/>
          <w:bCs/>
          <w:i/>
          <w:iCs/>
          <w:sz w:val="24"/>
          <w:szCs w:val="24"/>
        </w:rPr>
        <w:t>3</w:t>
      </w:r>
    </w:p>
    <w:p w14:paraId="151A308F" w14:textId="77777777" w:rsidR="005C048B" w:rsidRPr="005C048B" w:rsidRDefault="005C048B" w:rsidP="005C048B">
      <w:pPr>
        <w:spacing w:after="0"/>
        <w:rPr>
          <w:rFonts w:ascii="Arial" w:hAnsi="Arial" w:cs="Arial"/>
          <w:b/>
          <w:bCs/>
          <w:i/>
          <w:iCs/>
          <w:sz w:val="24"/>
          <w:szCs w:val="24"/>
        </w:rPr>
      </w:pPr>
    </w:p>
    <w:p w14:paraId="7A9DF770" w14:textId="342088D9" w:rsidR="00F27E26" w:rsidRDefault="00763438" w:rsidP="00F27E26">
      <w:pPr>
        <w:pStyle w:val="ListParagraph"/>
        <w:numPr>
          <w:ilvl w:val="0"/>
          <w:numId w:val="3"/>
        </w:numPr>
        <w:spacing w:after="0"/>
        <w:ind w:left="284" w:hanging="437"/>
        <w:rPr>
          <w:rFonts w:ascii="Arial" w:hAnsi="Arial" w:cs="Arial"/>
          <w:sz w:val="24"/>
          <w:szCs w:val="24"/>
        </w:rPr>
      </w:pPr>
      <w:r>
        <w:rPr>
          <w:rFonts w:ascii="Arial" w:hAnsi="Arial" w:cs="Arial"/>
          <w:sz w:val="24"/>
          <w:szCs w:val="24"/>
        </w:rPr>
        <w:t xml:space="preserve">Under the last accreditation process, HEIs produced extensive portfolios of supporting evidence for their </w:t>
      </w:r>
      <w:r w:rsidR="002479AA">
        <w:rPr>
          <w:rFonts w:ascii="Arial" w:hAnsi="Arial" w:cs="Arial"/>
          <w:sz w:val="24"/>
          <w:szCs w:val="24"/>
        </w:rPr>
        <w:t>programmes</w:t>
      </w:r>
      <w:r>
        <w:rPr>
          <w:rFonts w:ascii="Arial" w:hAnsi="Arial" w:cs="Arial"/>
          <w:sz w:val="24"/>
          <w:szCs w:val="24"/>
        </w:rPr>
        <w:t xml:space="preserve"> based on the requirements set out in </w:t>
      </w:r>
      <w:r w:rsidR="00766047">
        <w:rPr>
          <w:rFonts w:ascii="Arial" w:hAnsi="Arial" w:cs="Arial"/>
          <w:sz w:val="24"/>
          <w:szCs w:val="24"/>
        </w:rPr>
        <w:t>DE and GTCNI documents (</w:t>
      </w:r>
      <w:r w:rsidR="00766047" w:rsidRPr="00766047">
        <w:rPr>
          <w:rFonts w:ascii="Arial" w:hAnsi="Arial" w:cs="Arial"/>
          <w:b/>
          <w:bCs/>
          <w:sz w:val="24"/>
          <w:szCs w:val="24"/>
        </w:rPr>
        <w:t>Annexes A &amp; B</w:t>
      </w:r>
      <w:r w:rsidR="00766047">
        <w:rPr>
          <w:rFonts w:ascii="Arial" w:hAnsi="Arial" w:cs="Arial"/>
          <w:sz w:val="24"/>
          <w:szCs w:val="24"/>
        </w:rPr>
        <w:t>)</w:t>
      </w:r>
      <w:r>
        <w:rPr>
          <w:rFonts w:ascii="Arial" w:hAnsi="Arial" w:cs="Arial"/>
          <w:sz w:val="24"/>
          <w:szCs w:val="24"/>
        </w:rPr>
        <w:t xml:space="preserve">. </w:t>
      </w:r>
      <w:r w:rsidR="00F27E26">
        <w:rPr>
          <w:rFonts w:ascii="Arial" w:hAnsi="Arial" w:cs="Arial"/>
          <w:sz w:val="24"/>
          <w:szCs w:val="24"/>
        </w:rPr>
        <w:t>In the absence of the internal skills within GTCNI to assess those portfolios, the Department would consider it nugatory and wasteful of HEI resource</w:t>
      </w:r>
      <w:r w:rsidR="00067204">
        <w:rPr>
          <w:rFonts w:ascii="Arial" w:hAnsi="Arial" w:cs="Arial"/>
          <w:sz w:val="24"/>
          <w:szCs w:val="24"/>
        </w:rPr>
        <w:t>s</w:t>
      </w:r>
      <w:r w:rsidR="00F27E26">
        <w:rPr>
          <w:rFonts w:ascii="Arial" w:hAnsi="Arial" w:cs="Arial"/>
          <w:sz w:val="24"/>
          <w:szCs w:val="24"/>
        </w:rPr>
        <w:t xml:space="preserve"> to ask that similar portfolios of evidence are now prepared.</w:t>
      </w:r>
    </w:p>
    <w:p w14:paraId="64DCE430" w14:textId="77777777" w:rsidR="00F27E26" w:rsidRDefault="00F27E26" w:rsidP="00F27E26">
      <w:pPr>
        <w:pStyle w:val="ListParagraph"/>
        <w:spacing w:after="0"/>
        <w:ind w:left="284"/>
        <w:rPr>
          <w:rFonts w:ascii="Arial" w:hAnsi="Arial" w:cs="Arial"/>
          <w:sz w:val="24"/>
          <w:szCs w:val="24"/>
        </w:rPr>
      </w:pPr>
    </w:p>
    <w:p w14:paraId="5B9CDDC9" w14:textId="214EDD3C" w:rsidR="005C048B" w:rsidRDefault="00F27E26" w:rsidP="00A14EDF">
      <w:pPr>
        <w:pStyle w:val="ListParagraph"/>
        <w:numPr>
          <w:ilvl w:val="0"/>
          <w:numId w:val="3"/>
        </w:numPr>
        <w:spacing w:after="0"/>
        <w:ind w:left="284" w:hanging="437"/>
        <w:rPr>
          <w:rFonts w:ascii="Arial" w:hAnsi="Arial" w:cs="Arial"/>
          <w:sz w:val="24"/>
          <w:szCs w:val="24"/>
        </w:rPr>
      </w:pPr>
      <w:r w:rsidRPr="005C048B">
        <w:rPr>
          <w:rFonts w:ascii="Arial" w:hAnsi="Arial" w:cs="Arial"/>
          <w:sz w:val="24"/>
          <w:szCs w:val="24"/>
        </w:rPr>
        <w:t xml:space="preserve">As part of their </w:t>
      </w:r>
      <w:r w:rsidR="005C048B" w:rsidRPr="005C048B">
        <w:rPr>
          <w:rFonts w:ascii="Arial" w:hAnsi="Arial" w:cs="Arial"/>
          <w:sz w:val="24"/>
          <w:szCs w:val="24"/>
        </w:rPr>
        <w:t xml:space="preserve">previous rounds of </w:t>
      </w:r>
      <w:r w:rsidRPr="005C048B">
        <w:rPr>
          <w:rFonts w:ascii="Arial" w:hAnsi="Arial" w:cs="Arial"/>
          <w:sz w:val="24"/>
          <w:szCs w:val="24"/>
        </w:rPr>
        <w:t>inspection</w:t>
      </w:r>
      <w:r w:rsidR="005C048B" w:rsidRPr="005C048B">
        <w:rPr>
          <w:rFonts w:ascii="Arial" w:hAnsi="Arial" w:cs="Arial"/>
          <w:sz w:val="24"/>
          <w:szCs w:val="24"/>
        </w:rPr>
        <w:t>s</w:t>
      </w:r>
      <w:r w:rsidR="00067204">
        <w:rPr>
          <w:rFonts w:ascii="Arial" w:hAnsi="Arial" w:cs="Arial"/>
          <w:sz w:val="24"/>
          <w:szCs w:val="24"/>
        </w:rPr>
        <w:t>,</w:t>
      </w:r>
      <w:r w:rsidRPr="005C048B">
        <w:rPr>
          <w:rFonts w:ascii="Arial" w:hAnsi="Arial" w:cs="Arial"/>
          <w:sz w:val="24"/>
          <w:szCs w:val="24"/>
        </w:rPr>
        <w:t xml:space="preserve"> ETI </w:t>
      </w:r>
      <w:r w:rsidR="005C048B" w:rsidRPr="005C048B">
        <w:rPr>
          <w:rFonts w:ascii="Arial" w:hAnsi="Arial" w:cs="Arial"/>
          <w:sz w:val="24"/>
          <w:szCs w:val="24"/>
        </w:rPr>
        <w:t xml:space="preserve">scrutinised </w:t>
      </w:r>
      <w:r w:rsidRPr="005C048B">
        <w:rPr>
          <w:rFonts w:ascii="Arial" w:hAnsi="Arial" w:cs="Arial"/>
          <w:sz w:val="24"/>
          <w:szCs w:val="24"/>
        </w:rPr>
        <w:t xml:space="preserve">the scope and content of the various ITE </w:t>
      </w:r>
      <w:r w:rsidR="002479AA">
        <w:rPr>
          <w:rFonts w:ascii="Arial" w:hAnsi="Arial" w:cs="Arial"/>
          <w:sz w:val="24"/>
          <w:szCs w:val="24"/>
        </w:rPr>
        <w:t>programmes</w:t>
      </w:r>
      <w:r w:rsidRPr="005C048B">
        <w:rPr>
          <w:rFonts w:ascii="Arial" w:hAnsi="Arial" w:cs="Arial"/>
          <w:sz w:val="24"/>
          <w:szCs w:val="24"/>
        </w:rPr>
        <w:t xml:space="preserve"> and their delivery. </w:t>
      </w:r>
      <w:r w:rsidR="00067204">
        <w:rPr>
          <w:rFonts w:ascii="Arial" w:hAnsi="Arial" w:cs="Arial"/>
          <w:sz w:val="24"/>
          <w:szCs w:val="24"/>
        </w:rPr>
        <w:t>Its</w:t>
      </w:r>
      <w:r w:rsidRPr="005C048B">
        <w:rPr>
          <w:rFonts w:ascii="Arial" w:hAnsi="Arial" w:cs="Arial"/>
          <w:sz w:val="24"/>
          <w:szCs w:val="24"/>
        </w:rPr>
        <w:t xml:space="preserve"> report was presented to DE and Inspectors additionally met with the GTCNI accreditation team and verbally reported on </w:t>
      </w:r>
      <w:r w:rsidR="00067204">
        <w:rPr>
          <w:rFonts w:ascii="Arial" w:hAnsi="Arial" w:cs="Arial"/>
          <w:sz w:val="24"/>
          <w:szCs w:val="24"/>
        </w:rPr>
        <w:t>its</w:t>
      </w:r>
      <w:r w:rsidRPr="005C048B">
        <w:rPr>
          <w:rFonts w:ascii="Arial" w:hAnsi="Arial" w:cs="Arial"/>
          <w:sz w:val="24"/>
          <w:szCs w:val="24"/>
        </w:rPr>
        <w:t xml:space="preserve"> findings to help inform GTCNI’s deliberations. </w:t>
      </w:r>
      <w:r w:rsidR="009801F7" w:rsidRPr="005C048B">
        <w:rPr>
          <w:rFonts w:ascii="Arial" w:hAnsi="Arial" w:cs="Arial"/>
          <w:sz w:val="24"/>
          <w:szCs w:val="24"/>
        </w:rPr>
        <w:t xml:space="preserve">ETI’s inspections </w:t>
      </w:r>
      <w:r w:rsidR="005C048B">
        <w:rPr>
          <w:rFonts w:ascii="Arial" w:hAnsi="Arial" w:cs="Arial"/>
          <w:sz w:val="24"/>
          <w:szCs w:val="24"/>
        </w:rPr>
        <w:t xml:space="preserve">also </w:t>
      </w:r>
      <w:r w:rsidR="009801F7" w:rsidRPr="005C048B">
        <w:rPr>
          <w:rFonts w:ascii="Arial" w:hAnsi="Arial" w:cs="Arial"/>
          <w:sz w:val="24"/>
          <w:szCs w:val="24"/>
        </w:rPr>
        <w:t>produced recommendations for each course on areas for</w:t>
      </w:r>
      <w:r w:rsidR="005C048B">
        <w:rPr>
          <w:rFonts w:ascii="Arial" w:hAnsi="Arial" w:cs="Arial"/>
          <w:sz w:val="24"/>
          <w:szCs w:val="24"/>
        </w:rPr>
        <w:t xml:space="preserve"> </w:t>
      </w:r>
      <w:r w:rsidR="009801F7" w:rsidRPr="005C048B">
        <w:rPr>
          <w:rFonts w:ascii="Arial" w:hAnsi="Arial" w:cs="Arial"/>
          <w:sz w:val="24"/>
          <w:szCs w:val="24"/>
        </w:rPr>
        <w:t>improvement</w:t>
      </w:r>
      <w:r w:rsidR="005C048B">
        <w:rPr>
          <w:rFonts w:ascii="Arial" w:hAnsi="Arial" w:cs="Arial"/>
          <w:sz w:val="24"/>
          <w:szCs w:val="24"/>
        </w:rPr>
        <w:t xml:space="preserve"> and these were privately shared</w:t>
      </w:r>
      <w:r w:rsidR="009801F7" w:rsidRPr="005C048B">
        <w:rPr>
          <w:rFonts w:ascii="Arial" w:hAnsi="Arial" w:cs="Arial"/>
          <w:sz w:val="24"/>
          <w:szCs w:val="24"/>
        </w:rPr>
        <w:t xml:space="preserve"> </w:t>
      </w:r>
      <w:r w:rsidR="005C048B">
        <w:rPr>
          <w:rFonts w:ascii="Arial" w:hAnsi="Arial" w:cs="Arial"/>
          <w:sz w:val="24"/>
          <w:szCs w:val="24"/>
        </w:rPr>
        <w:t xml:space="preserve">with each HEI. </w:t>
      </w:r>
    </w:p>
    <w:p w14:paraId="2BF53C9D" w14:textId="77777777" w:rsidR="005C048B" w:rsidRPr="005C048B" w:rsidRDefault="005C048B" w:rsidP="005C048B">
      <w:pPr>
        <w:pStyle w:val="ListParagraph"/>
        <w:rPr>
          <w:rFonts w:ascii="Arial" w:hAnsi="Arial" w:cs="Arial"/>
          <w:sz w:val="24"/>
          <w:szCs w:val="24"/>
        </w:rPr>
      </w:pPr>
    </w:p>
    <w:p w14:paraId="5F36BCB1" w14:textId="1680898F" w:rsidR="005C048B" w:rsidRDefault="005C048B" w:rsidP="005C048B">
      <w:pPr>
        <w:pStyle w:val="ListParagraph"/>
        <w:numPr>
          <w:ilvl w:val="0"/>
          <w:numId w:val="3"/>
        </w:numPr>
        <w:spacing w:after="0"/>
        <w:ind w:left="284" w:hanging="437"/>
        <w:rPr>
          <w:rFonts w:ascii="Arial" w:hAnsi="Arial" w:cs="Arial"/>
          <w:sz w:val="24"/>
          <w:szCs w:val="24"/>
        </w:rPr>
      </w:pPr>
      <w:r>
        <w:rPr>
          <w:rFonts w:ascii="Arial" w:hAnsi="Arial" w:cs="Arial"/>
          <w:sz w:val="24"/>
          <w:szCs w:val="24"/>
        </w:rPr>
        <w:t xml:space="preserve">The Department expects that all ETI recommendations for refinement or change in </w:t>
      </w:r>
      <w:r w:rsidR="002479AA">
        <w:rPr>
          <w:rFonts w:ascii="Arial" w:hAnsi="Arial" w:cs="Arial"/>
          <w:sz w:val="24"/>
          <w:szCs w:val="24"/>
        </w:rPr>
        <w:t>programmes</w:t>
      </w:r>
      <w:r>
        <w:rPr>
          <w:rFonts w:ascii="Arial" w:hAnsi="Arial" w:cs="Arial"/>
          <w:sz w:val="24"/>
          <w:szCs w:val="24"/>
        </w:rPr>
        <w:t xml:space="preserve"> w</w:t>
      </w:r>
      <w:r w:rsidR="00E637D4">
        <w:rPr>
          <w:rFonts w:ascii="Arial" w:hAnsi="Arial" w:cs="Arial"/>
          <w:sz w:val="24"/>
          <w:szCs w:val="24"/>
        </w:rPr>
        <w:t>ill</w:t>
      </w:r>
      <w:r>
        <w:rPr>
          <w:rFonts w:ascii="Arial" w:hAnsi="Arial" w:cs="Arial"/>
          <w:sz w:val="24"/>
          <w:szCs w:val="24"/>
        </w:rPr>
        <w:t xml:space="preserve"> have been factored in to each HEI’s annual reflective self-evaluation processes, resulting in minor, incremental changes and improvements in </w:t>
      </w:r>
      <w:r w:rsidR="002479AA">
        <w:rPr>
          <w:rFonts w:ascii="Arial" w:hAnsi="Arial" w:cs="Arial"/>
          <w:sz w:val="24"/>
          <w:szCs w:val="24"/>
        </w:rPr>
        <w:t>programmes</w:t>
      </w:r>
      <w:r>
        <w:rPr>
          <w:rFonts w:ascii="Arial" w:hAnsi="Arial" w:cs="Arial"/>
          <w:sz w:val="24"/>
          <w:szCs w:val="24"/>
        </w:rPr>
        <w:t xml:space="preserve"> </w:t>
      </w:r>
      <w:r w:rsidRPr="005C048B">
        <w:rPr>
          <w:rFonts w:ascii="Arial" w:hAnsi="Arial" w:cs="Arial"/>
          <w:sz w:val="24"/>
          <w:szCs w:val="24"/>
        </w:rPr>
        <w:t>year-</w:t>
      </w:r>
      <w:r>
        <w:rPr>
          <w:rFonts w:ascii="Arial" w:hAnsi="Arial" w:cs="Arial"/>
          <w:sz w:val="24"/>
          <w:szCs w:val="24"/>
        </w:rPr>
        <w:t>t</w:t>
      </w:r>
      <w:r w:rsidRPr="005C048B">
        <w:rPr>
          <w:rFonts w:ascii="Arial" w:hAnsi="Arial" w:cs="Arial"/>
          <w:sz w:val="24"/>
          <w:szCs w:val="24"/>
        </w:rPr>
        <w:t>o-year</w:t>
      </w:r>
      <w:r>
        <w:rPr>
          <w:rFonts w:ascii="Arial" w:hAnsi="Arial" w:cs="Arial"/>
          <w:sz w:val="24"/>
          <w:szCs w:val="24"/>
        </w:rPr>
        <w:t xml:space="preserve">. If existing self-reflective practices have been documented and these records can be shared in confidence with ETI, these could provide a comparatively “low effort” evidence base for the each HEI’s ongoing course development. </w:t>
      </w:r>
    </w:p>
    <w:p w14:paraId="51F1BDAC" w14:textId="77777777" w:rsidR="005C048B" w:rsidRPr="005C048B" w:rsidRDefault="005C048B" w:rsidP="005C048B">
      <w:pPr>
        <w:pStyle w:val="ListParagraph"/>
        <w:rPr>
          <w:rFonts w:ascii="Arial" w:hAnsi="Arial" w:cs="Arial"/>
          <w:sz w:val="24"/>
          <w:szCs w:val="24"/>
        </w:rPr>
      </w:pPr>
    </w:p>
    <w:p w14:paraId="149CCE50" w14:textId="521FEB3D" w:rsidR="00410393" w:rsidRDefault="005C048B" w:rsidP="005C048B">
      <w:pPr>
        <w:pStyle w:val="ListParagraph"/>
        <w:numPr>
          <w:ilvl w:val="0"/>
          <w:numId w:val="3"/>
        </w:numPr>
        <w:spacing w:after="0"/>
        <w:ind w:left="284" w:hanging="437"/>
        <w:rPr>
          <w:rFonts w:ascii="Arial" w:hAnsi="Arial" w:cs="Arial"/>
          <w:sz w:val="24"/>
          <w:szCs w:val="24"/>
        </w:rPr>
      </w:pPr>
      <w:r>
        <w:rPr>
          <w:rFonts w:ascii="Arial" w:hAnsi="Arial" w:cs="Arial"/>
          <w:sz w:val="24"/>
          <w:szCs w:val="24"/>
        </w:rPr>
        <w:lastRenderedPageBreak/>
        <w:t xml:space="preserve">This evidence could allow ETI to determine that their previous recommendations had all been satisfactorily addressed and could help inform its next round of inspections. This could perhaps allow for a series of more focused “lighter touch” inspections than might otherwise have been considered necessary. Self-evaluation records would therefore provide a useful further evidence base to support DE reapproval of the </w:t>
      </w:r>
      <w:r w:rsidR="002479AA">
        <w:rPr>
          <w:rFonts w:ascii="Arial" w:hAnsi="Arial" w:cs="Arial"/>
          <w:sz w:val="24"/>
          <w:szCs w:val="24"/>
        </w:rPr>
        <w:t>programmes</w:t>
      </w:r>
      <w:r>
        <w:rPr>
          <w:rFonts w:ascii="Arial" w:hAnsi="Arial" w:cs="Arial"/>
          <w:sz w:val="24"/>
          <w:szCs w:val="24"/>
        </w:rPr>
        <w:t xml:space="preserve">. </w:t>
      </w:r>
    </w:p>
    <w:p w14:paraId="5EA3990B" w14:textId="77777777" w:rsidR="00410393" w:rsidRPr="00E637D4" w:rsidRDefault="00410393" w:rsidP="00E637D4">
      <w:pPr>
        <w:pStyle w:val="ListParagraph"/>
        <w:rPr>
          <w:rFonts w:ascii="Arial" w:hAnsi="Arial" w:cs="Arial"/>
          <w:sz w:val="24"/>
          <w:szCs w:val="24"/>
        </w:rPr>
      </w:pPr>
    </w:p>
    <w:p w14:paraId="3CB00857" w14:textId="489B9B2C" w:rsidR="005C048B" w:rsidRDefault="005C048B" w:rsidP="005C048B">
      <w:pPr>
        <w:pStyle w:val="ListParagraph"/>
        <w:numPr>
          <w:ilvl w:val="0"/>
          <w:numId w:val="3"/>
        </w:numPr>
        <w:spacing w:after="0"/>
        <w:ind w:left="284" w:hanging="437"/>
        <w:rPr>
          <w:rFonts w:ascii="Arial" w:hAnsi="Arial" w:cs="Arial"/>
          <w:sz w:val="24"/>
          <w:szCs w:val="24"/>
        </w:rPr>
      </w:pPr>
      <w:r>
        <w:rPr>
          <w:rFonts w:ascii="Arial" w:hAnsi="Arial" w:cs="Arial"/>
          <w:sz w:val="24"/>
          <w:szCs w:val="24"/>
        </w:rPr>
        <w:t>This hybrid approach would potentially address three of the four pillars of appraisal used previously (</w:t>
      </w:r>
      <w:r>
        <w:rPr>
          <w:rFonts w:ascii="Arial" w:hAnsi="Arial" w:cs="Arial"/>
          <w:b/>
          <w:bCs/>
          <w:i/>
          <w:iCs/>
          <w:sz w:val="24"/>
          <w:szCs w:val="24"/>
        </w:rPr>
        <w:t>HEI Self-Evaluation, ETI I</w:t>
      </w:r>
      <w:r w:rsidRPr="002D1081">
        <w:rPr>
          <w:rFonts w:ascii="Arial" w:hAnsi="Arial" w:cs="Arial"/>
          <w:b/>
          <w:bCs/>
          <w:i/>
          <w:iCs/>
          <w:sz w:val="24"/>
          <w:szCs w:val="24"/>
        </w:rPr>
        <w:t>nspection</w:t>
      </w:r>
      <w:r>
        <w:rPr>
          <w:rFonts w:ascii="Arial" w:hAnsi="Arial" w:cs="Arial"/>
          <w:sz w:val="24"/>
          <w:szCs w:val="24"/>
        </w:rPr>
        <w:t xml:space="preserve"> and </w:t>
      </w:r>
      <w:r w:rsidRPr="002D1081">
        <w:rPr>
          <w:rFonts w:ascii="Arial" w:hAnsi="Arial" w:cs="Arial"/>
          <w:b/>
          <w:bCs/>
          <w:i/>
          <w:iCs/>
          <w:sz w:val="24"/>
          <w:szCs w:val="24"/>
        </w:rPr>
        <w:t>DE Approval</w:t>
      </w:r>
      <w:r>
        <w:rPr>
          <w:rFonts w:ascii="Arial" w:hAnsi="Arial" w:cs="Arial"/>
          <w:sz w:val="24"/>
          <w:szCs w:val="24"/>
        </w:rPr>
        <w:t>).</w:t>
      </w:r>
    </w:p>
    <w:p w14:paraId="52313593" w14:textId="77777777" w:rsidR="005C048B" w:rsidRPr="005C048B" w:rsidRDefault="005C048B" w:rsidP="005C048B">
      <w:pPr>
        <w:pStyle w:val="ListParagraph"/>
        <w:rPr>
          <w:rFonts w:ascii="Arial" w:hAnsi="Arial" w:cs="Arial"/>
          <w:sz w:val="24"/>
          <w:szCs w:val="24"/>
        </w:rPr>
      </w:pPr>
    </w:p>
    <w:p w14:paraId="4D07EBA1" w14:textId="4E07A53D" w:rsidR="005C048B" w:rsidRPr="005C048B" w:rsidRDefault="005C048B" w:rsidP="005C048B">
      <w:pPr>
        <w:spacing w:after="0"/>
        <w:rPr>
          <w:rFonts w:ascii="Arial" w:hAnsi="Arial" w:cs="Arial"/>
          <w:b/>
          <w:bCs/>
          <w:color w:val="FF0000"/>
          <w:sz w:val="24"/>
          <w:szCs w:val="24"/>
        </w:rPr>
      </w:pPr>
      <w:r w:rsidRPr="005C048B">
        <w:rPr>
          <w:rFonts w:ascii="Arial" w:hAnsi="Arial" w:cs="Arial"/>
          <w:b/>
          <w:bCs/>
          <w:color w:val="FF0000"/>
          <w:sz w:val="24"/>
          <w:szCs w:val="24"/>
        </w:rPr>
        <w:t>Questions</w:t>
      </w:r>
    </w:p>
    <w:p w14:paraId="43E76817" w14:textId="77777777" w:rsidR="005C048B" w:rsidRPr="005C048B" w:rsidRDefault="005C048B" w:rsidP="005C048B">
      <w:pPr>
        <w:pStyle w:val="ListParagraph"/>
        <w:spacing w:after="0"/>
        <w:rPr>
          <w:rFonts w:ascii="Arial" w:hAnsi="Arial" w:cs="Arial"/>
          <w:b/>
          <w:bCs/>
          <w:color w:val="FF0000"/>
          <w:sz w:val="24"/>
          <w:szCs w:val="24"/>
          <w:u w:val="single"/>
        </w:rPr>
      </w:pPr>
    </w:p>
    <w:p w14:paraId="1F9103B6" w14:textId="102D8BA4" w:rsidR="005C048B" w:rsidRPr="005C048B" w:rsidRDefault="005C048B" w:rsidP="00E637D4">
      <w:pPr>
        <w:spacing w:after="0"/>
        <w:ind w:left="709" w:hanging="709"/>
        <w:rPr>
          <w:rFonts w:ascii="Arial" w:hAnsi="Arial" w:cs="Arial"/>
          <w:b/>
          <w:bCs/>
          <w:i/>
          <w:iCs/>
          <w:color w:val="FF0000"/>
          <w:sz w:val="24"/>
          <w:szCs w:val="24"/>
        </w:rPr>
      </w:pPr>
      <w:r w:rsidRPr="005C048B">
        <w:rPr>
          <w:rFonts w:ascii="Arial" w:hAnsi="Arial" w:cs="Arial"/>
          <w:b/>
          <w:bCs/>
          <w:i/>
          <w:iCs/>
          <w:color w:val="FF0000"/>
          <w:sz w:val="24"/>
          <w:szCs w:val="24"/>
        </w:rPr>
        <w:t>Q1.</w:t>
      </w:r>
      <w:r w:rsidRPr="005C048B">
        <w:rPr>
          <w:rFonts w:ascii="Arial" w:hAnsi="Arial" w:cs="Arial"/>
          <w:b/>
          <w:bCs/>
          <w:i/>
          <w:iCs/>
          <w:color w:val="FF0000"/>
          <w:sz w:val="24"/>
          <w:szCs w:val="24"/>
        </w:rPr>
        <w:tab/>
        <w:t>Are there any obvious areas of duplication across the</w:t>
      </w:r>
      <w:r>
        <w:rPr>
          <w:rFonts w:ascii="Arial" w:hAnsi="Arial" w:cs="Arial"/>
          <w:b/>
          <w:bCs/>
          <w:i/>
          <w:iCs/>
          <w:color w:val="FF0000"/>
          <w:sz w:val="24"/>
          <w:szCs w:val="24"/>
        </w:rPr>
        <w:t xml:space="preserve"> four </w:t>
      </w:r>
      <w:r w:rsidRPr="005C048B">
        <w:rPr>
          <w:rFonts w:ascii="Arial" w:hAnsi="Arial" w:cs="Arial"/>
          <w:b/>
          <w:bCs/>
          <w:i/>
          <w:iCs/>
          <w:color w:val="FF0000"/>
          <w:sz w:val="24"/>
          <w:szCs w:val="24"/>
        </w:rPr>
        <w:t>types of assessment</w:t>
      </w:r>
      <w:r>
        <w:rPr>
          <w:rFonts w:ascii="Arial" w:hAnsi="Arial" w:cs="Arial"/>
          <w:b/>
          <w:bCs/>
          <w:i/>
          <w:iCs/>
          <w:color w:val="FF0000"/>
          <w:sz w:val="24"/>
          <w:szCs w:val="24"/>
        </w:rPr>
        <w:t xml:space="preserve"> used previously</w:t>
      </w:r>
      <w:r w:rsidRPr="005C048B">
        <w:rPr>
          <w:rFonts w:ascii="Arial" w:hAnsi="Arial" w:cs="Arial"/>
          <w:b/>
          <w:bCs/>
          <w:i/>
          <w:iCs/>
          <w:color w:val="FF0000"/>
          <w:sz w:val="24"/>
          <w:szCs w:val="24"/>
        </w:rPr>
        <w:t>?</w:t>
      </w:r>
    </w:p>
    <w:p w14:paraId="0C92120A" w14:textId="77777777" w:rsidR="005C048B" w:rsidRPr="005C048B" w:rsidRDefault="005C048B" w:rsidP="005C048B">
      <w:pPr>
        <w:spacing w:after="0"/>
        <w:rPr>
          <w:rFonts w:ascii="Arial" w:hAnsi="Arial" w:cs="Arial"/>
          <w:b/>
          <w:bCs/>
          <w:i/>
          <w:iCs/>
          <w:color w:val="FF0000"/>
          <w:sz w:val="24"/>
          <w:szCs w:val="24"/>
        </w:rPr>
      </w:pPr>
    </w:p>
    <w:p w14:paraId="01715231" w14:textId="3C0C9C10" w:rsidR="005C048B" w:rsidRPr="005C048B" w:rsidRDefault="005C048B" w:rsidP="005C048B">
      <w:pPr>
        <w:spacing w:after="0"/>
        <w:rPr>
          <w:rFonts w:ascii="Arial" w:hAnsi="Arial" w:cs="Arial"/>
          <w:b/>
          <w:bCs/>
          <w:i/>
          <w:iCs/>
          <w:color w:val="FF0000"/>
          <w:sz w:val="24"/>
          <w:szCs w:val="24"/>
        </w:rPr>
      </w:pPr>
      <w:r w:rsidRPr="005C048B">
        <w:rPr>
          <w:rFonts w:ascii="Arial" w:hAnsi="Arial" w:cs="Arial"/>
          <w:b/>
          <w:bCs/>
          <w:i/>
          <w:iCs/>
          <w:color w:val="FF0000"/>
          <w:sz w:val="24"/>
          <w:szCs w:val="24"/>
        </w:rPr>
        <w:t>Q2.</w:t>
      </w:r>
      <w:r w:rsidRPr="005C048B">
        <w:rPr>
          <w:rFonts w:ascii="Arial" w:hAnsi="Arial" w:cs="Arial"/>
          <w:b/>
          <w:bCs/>
          <w:i/>
          <w:iCs/>
          <w:color w:val="FF0000"/>
          <w:sz w:val="24"/>
          <w:szCs w:val="24"/>
        </w:rPr>
        <w:tab/>
        <w:t xml:space="preserve">Are all of these stages still </w:t>
      </w:r>
      <w:r>
        <w:rPr>
          <w:rFonts w:ascii="Arial" w:hAnsi="Arial" w:cs="Arial"/>
          <w:b/>
          <w:bCs/>
          <w:i/>
          <w:iCs/>
          <w:color w:val="FF0000"/>
          <w:sz w:val="24"/>
          <w:szCs w:val="24"/>
        </w:rPr>
        <w:t xml:space="preserve">considered </w:t>
      </w:r>
      <w:r w:rsidRPr="005C048B">
        <w:rPr>
          <w:rFonts w:ascii="Arial" w:hAnsi="Arial" w:cs="Arial"/>
          <w:b/>
          <w:bCs/>
          <w:i/>
          <w:iCs/>
          <w:color w:val="FF0000"/>
          <w:sz w:val="24"/>
          <w:szCs w:val="24"/>
        </w:rPr>
        <w:t>essential?</w:t>
      </w:r>
    </w:p>
    <w:p w14:paraId="5B4A7648" w14:textId="77777777" w:rsidR="009801F7" w:rsidRDefault="009801F7" w:rsidP="009801F7">
      <w:pPr>
        <w:spacing w:after="0"/>
        <w:rPr>
          <w:rFonts w:ascii="Arial" w:hAnsi="Arial" w:cs="Arial"/>
          <w:b/>
          <w:bCs/>
          <w:i/>
          <w:iCs/>
          <w:color w:val="FF0000"/>
          <w:sz w:val="24"/>
          <w:szCs w:val="24"/>
        </w:rPr>
      </w:pPr>
    </w:p>
    <w:p w14:paraId="1338516A" w14:textId="77777777" w:rsidR="005C048B" w:rsidRDefault="009801F7" w:rsidP="005C048B">
      <w:pPr>
        <w:spacing w:after="0"/>
        <w:ind w:left="709" w:hanging="709"/>
        <w:rPr>
          <w:rFonts w:ascii="Arial" w:hAnsi="Arial" w:cs="Arial"/>
          <w:b/>
          <w:bCs/>
          <w:i/>
          <w:iCs/>
          <w:color w:val="FF0000"/>
          <w:sz w:val="24"/>
          <w:szCs w:val="24"/>
        </w:rPr>
      </w:pPr>
      <w:r w:rsidRPr="009801F7">
        <w:rPr>
          <w:rFonts w:ascii="Arial" w:hAnsi="Arial" w:cs="Arial"/>
          <w:b/>
          <w:bCs/>
          <w:i/>
          <w:iCs/>
          <w:color w:val="FF0000"/>
          <w:sz w:val="24"/>
          <w:szCs w:val="24"/>
        </w:rPr>
        <w:t>Q</w:t>
      </w:r>
      <w:r>
        <w:rPr>
          <w:rFonts w:ascii="Arial" w:hAnsi="Arial" w:cs="Arial"/>
          <w:b/>
          <w:bCs/>
          <w:i/>
          <w:iCs/>
          <w:color w:val="FF0000"/>
          <w:sz w:val="24"/>
          <w:szCs w:val="24"/>
        </w:rPr>
        <w:t>3</w:t>
      </w:r>
      <w:r w:rsidRPr="009801F7">
        <w:rPr>
          <w:rFonts w:ascii="Arial" w:hAnsi="Arial" w:cs="Arial"/>
          <w:b/>
          <w:bCs/>
          <w:i/>
          <w:iCs/>
          <w:color w:val="FF0000"/>
          <w:sz w:val="24"/>
          <w:szCs w:val="24"/>
        </w:rPr>
        <w:t>.</w:t>
      </w:r>
      <w:r w:rsidRPr="009801F7">
        <w:rPr>
          <w:rFonts w:ascii="Arial" w:hAnsi="Arial" w:cs="Arial"/>
          <w:b/>
          <w:bCs/>
          <w:i/>
          <w:iCs/>
          <w:color w:val="FF0000"/>
          <w:sz w:val="24"/>
          <w:szCs w:val="24"/>
        </w:rPr>
        <w:tab/>
      </w:r>
      <w:r w:rsidR="005C048B">
        <w:rPr>
          <w:rFonts w:ascii="Arial" w:hAnsi="Arial" w:cs="Arial"/>
          <w:b/>
          <w:bCs/>
          <w:i/>
          <w:iCs/>
          <w:color w:val="FF0000"/>
          <w:sz w:val="24"/>
          <w:szCs w:val="24"/>
        </w:rPr>
        <w:t>Could external QAA validation play a more prominent role in Departmental considerations of “Quality Assuring” our ITE provision?</w:t>
      </w:r>
    </w:p>
    <w:p w14:paraId="2E57CF97" w14:textId="2D2F861A" w:rsidR="005C048B" w:rsidRDefault="005C048B" w:rsidP="005C048B">
      <w:pPr>
        <w:spacing w:after="0"/>
        <w:ind w:left="709" w:hanging="709"/>
        <w:rPr>
          <w:rFonts w:ascii="Arial" w:hAnsi="Arial" w:cs="Arial"/>
          <w:b/>
          <w:bCs/>
          <w:i/>
          <w:iCs/>
          <w:color w:val="FF0000"/>
          <w:sz w:val="24"/>
          <w:szCs w:val="24"/>
        </w:rPr>
      </w:pPr>
      <w:r>
        <w:rPr>
          <w:rFonts w:ascii="Arial" w:hAnsi="Arial" w:cs="Arial"/>
          <w:b/>
          <w:bCs/>
          <w:i/>
          <w:iCs/>
          <w:color w:val="FF0000"/>
          <w:sz w:val="24"/>
          <w:szCs w:val="24"/>
        </w:rPr>
        <w:t xml:space="preserve"> </w:t>
      </w:r>
    </w:p>
    <w:p w14:paraId="22DD6A96" w14:textId="16BCB5A2" w:rsidR="005C048B" w:rsidRDefault="005C048B" w:rsidP="005C048B">
      <w:pPr>
        <w:spacing w:after="0"/>
        <w:ind w:left="709" w:hanging="709"/>
        <w:rPr>
          <w:rFonts w:ascii="Arial" w:hAnsi="Arial" w:cs="Arial"/>
          <w:b/>
          <w:bCs/>
          <w:i/>
          <w:iCs/>
          <w:color w:val="FF0000"/>
          <w:sz w:val="24"/>
          <w:szCs w:val="24"/>
        </w:rPr>
      </w:pPr>
      <w:r>
        <w:rPr>
          <w:rFonts w:ascii="Arial" w:hAnsi="Arial" w:cs="Arial"/>
          <w:b/>
          <w:bCs/>
          <w:i/>
          <w:iCs/>
          <w:color w:val="FF0000"/>
          <w:sz w:val="24"/>
          <w:szCs w:val="24"/>
        </w:rPr>
        <w:t>Q4.</w:t>
      </w:r>
      <w:r>
        <w:rPr>
          <w:rFonts w:ascii="Arial" w:hAnsi="Arial" w:cs="Arial"/>
          <w:b/>
          <w:bCs/>
          <w:i/>
          <w:iCs/>
          <w:color w:val="FF0000"/>
          <w:sz w:val="24"/>
          <w:szCs w:val="24"/>
        </w:rPr>
        <w:tab/>
      </w:r>
      <w:r w:rsidR="009801F7">
        <w:rPr>
          <w:rFonts w:ascii="Arial" w:hAnsi="Arial" w:cs="Arial"/>
          <w:b/>
          <w:bCs/>
          <w:i/>
          <w:iCs/>
          <w:color w:val="FF0000"/>
          <w:sz w:val="24"/>
          <w:szCs w:val="24"/>
        </w:rPr>
        <w:t>Without creating any significant amount of new content, would the HEIs be able to evidence regular self-</w:t>
      </w:r>
      <w:r>
        <w:rPr>
          <w:rFonts w:ascii="Arial" w:hAnsi="Arial" w:cs="Arial"/>
          <w:b/>
          <w:bCs/>
          <w:i/>
          <w:iCs/>
          <w:color w:val="FF0000"/>
          <w:sz w:val="24"/>
          <w:szCs w:val="24"/>
        </w:rPr>
        <w:t xml:space="preserve">evaluation linked </w:t>
      </w:r>
      <w:r w:rsidR="009801F7">
        <w:rPr>
          <w:rFonts w:ascii="Arial" w:hAnsi="Arial" w:cs="Arial"/>
          <w:b/>
          <w:bCs/>
          <w:i/>
          <w:iCs/>
          <w:color w:val="FF0000"/>
          <w:sz w:val="24"/>
          <w:szCs w:val="24"/>
        </w:rPr>
        <w:t xml:space="preserve">to changes </w:t>
      </w:r>
      <w:r w:rsidR="00C33CFA">
        <w:rPr>
          <w:rFonts w:ascii="Arial" w:hAnsi="Arial" w:cs="Arial"/>
          <w:b/>
          <w:bCs/>
          <w:i/>
          <w:iCs/>
          <w:color w:val="FF0000"/>
          <w:sz w:val="24"/>
          <w:szCs w:val="24"/>
        </w:rPr>
        <w:t xml:space="preserve">in their </w:t>
      </w:r>
      <w:r w:rsidR="002479AA">
        <w:rPr>
          <w:rFonts w:ascii="Arial" w:hAnsi="Arial" w:cs="Arial"/>
          <w:b/>
          <w:bCs/>
          <w:i/>
          <w:iCs/>
          <w:color w:val="FF0000"/>
          <w:sz w:val="24"/>
          <w:szCs w:val="24"/>
        </w:rPr>
        <w:t>programmes</w:t>
      </w:r>
      <w:r>
        <w:rPr>
          <w:rFonts w:ascii="Arial" w:hAnsi="Arial" w:cs="Arial"/>
          <w:b/>
          <w:bCs/>
          <w:i/>
          <w:iCs/>
          <w:color w:val="FF0000"/>
          <w:sz w:val="24"/>
          <w:szCs w:val="24"/>
        </w:rPr>
        <w:t>?</w:t>
      </w:r>
    </w:p>
    <w:p w14:paraId="1CD2CDFE" w14:textId="77777777" w:rsidR="005C048B" w:rsidRDefault="005C048B" w:rsidP="005C048B">
      <w:pPr>
        <w:spacing w:after="0"/>
        <w:ind w:left="709" w:hanging="709"/>
        <w:rPr>
          <w:rFonts w:ascii="Arial" w:hAnsi="Arial" w:cs="Arial"/>
          <w:b/>
          <w:bCs/>
          <w:i/>
          <w:iCs/>
          <w:color w:val="FF0000"/>
          <w:sz w:val="24"/>
          <w:szCs w:val="24"/>
        </w:rPr>
      </w:pPr>
    </w:p>
    <w:p w14:paraId="654994E4" w14:textId="0D233251" w:rsidR="009801F7" w:rsidRDefault="005C048B" w:rsidP="005C048B">
      <w:pPr>
        <w:spacing w:after="0"/>
        <w:ind w:left="709" w:hanging="709"/>
        <w:rPr>
          <w:rFonts w:ascii="Arial" w:hAnsi="Arial" w:cs="Arial"/>
          <w:b/>
          <w:bCs/>
          <w:i/>
          <w:iCs/>
          <w:color w:val="FF0000"/>
          <w:sz w:val="24"/>
          <w:szCs w:val="24"/>
        </w:rPr>
      </w:pPr>
      <w:r>
        <w:rPr>
          <w:rFonts w:ascii="Arial" w:hAnsi="Arial" w:cs="Arial"/>
          <w:b/>
          <w:bCs/>
          <w:i/>
          <w:iCs/>
          <w:color w:val="FF0000"/>
          <w:sz w:val="24"/>
          <w:szCs w:val="24"/>
        </w:rPr>
        <w:t>Q5.</w:t>
      </w:r>
      <w:r>
        <w:rPr>
          <w:rFonts w:ascii="Arial" w:hAnsi="Arial" w:cs="Arial"/>
          <w:b/>
          <w:bCs/>
          <w:i/>
          <w:iCs/>
          <w:color w:val="FF0000"/>
          <w:sz w:val="24"/>
          <w:szCs w:val="24"/>
        </w:rPr>
        <w:tab/>
        <w:t xml:space="preserve">Would the HEIs be able to provide other supporting </w:t>
      </w:r>
      <w:r w:rsidR="00C33CFA">
        <w:rPr>
          <w:rFonts w:ascii="Arial" w:hAnsi="Arial" w:cs="Arial"/>
          <w:b/>
          <w:bCs/>
          <w:i/>
          <w:iCs/>
          <w:color w:val="FF0000"/>
          <w:sz w:val="24"/>
          <w:szCs w:val="24"/>
        </w:rPr>
        <w:t>evidence of addressing previous ETI recommendations?</w:t>
      </w:r>
    </w:p>
    <w:p w14:paraId="1A4E1655" w14:textId="77777777" w:rsidR="005C048B" w:rsidRDefault="005C048B" w:rsidP="005C048B">
      <w:pPr>
        <w:spacing w:after="0"/>
        <w:ind w:left="709" w:hanging="709"/>
        <w:rPr>
          <w:rFonts w:ascii="Arial" w:hAnsi="Arial" w:cs="Arial"/>
          <w:b/>
          <w:bCs/>
          <w:i/>
          <w:iCs/>
          <w:color w:val="FF0000"/>
          <w:sz w:val="24"/>
          <w:szCs w:val="24"/>
        </w:rPr>
      </w:pPr>
    </w:p>
    <w:p w14:paraId="7091F855" w14:textId="77B7C1D9" w:rsidR="00C33CFA" w:rsidRDefault="005C048B" w:rsidP="005C048B">
      <w:pPr>
        <w:spacing w:after="0"/>
        <w:ind w:left="709" w:hanging="709"/>
        <w:rPr>
          <w:rFonts w:ascii="Arial" w:hAnsi="Arial" w:cs="Arial"/>
          <w:b/>
          <w:bCs/>
          <w:i/>
          <w:iCs/>
          <w:color w:val="FF0000"/>
          <w:sz w:val="24"/>
          <w:szCs w:val="24"/>
        </w:rPr>
      </w:pPr>
      <w:r>
        <w:rPr>
          <w:rFonts w:ascii="Arial" w:hAnsi="Arial" w:cs="Arial"/>
          <w:b/>
          <w:bCs/>
          <w:i/>
          <w:iCs/>
          <w:color w:val="FF0000"/>
          <w:sz w:val="24"/>
          <w:szCs w:val="24"/>
        </w:rPr>
        <w:t>Q6.</w:t>
      </w:r>
      <w:r>
        <w:rPr>
          <w:rFonts w:ascii="Arial" w:hAnsi="Arial" w:cs="Arial"/>
          <w:b/>
          <w:bCs/>
          <w:i/>
          <w:iCs/>
          <w:color w:val="FF0000"/>
          <w:sz w:val="24"/>
          <w:szCs w:val="24"/>
        </w:rPr>
        <w:tab/>
        <w:t xml:space="preserve">Are there any other options which would, without requiring excessive effort from the HEIs or ETI, still provide a robust and evidenced basis for DE reapproval of our ITE </w:t>
      </w:r>
      <w:r w:rsidR="002479AA">
        <w:rPr>
          <w:rFonts w:ascii="Arial" w:hAnsi="Arial" w:cs="Arial"/>
          <w:b/>
          <w:bCs/>
          <w:i/>
          <w:iCs/>
          <w:color w:val="FF0000"/>
          <w:sz w:val="24"/>
          <w:szCs w:val="24"/>
        </w:rPr>
        <w:t>programmes</w:t>
      </w:r>
      <w:r w:rsidR="00C33CFA">
        <w:rPr>
          <w:rFonts w:ascii="Arial" w:hAnsi="Arial" w:cs="Arial"/>
          <w:b/>
          <w:bCs/>
          <w:i/>
          <w:iCs/>
          <w:color w:val="FF0000"/>
          <w:sz w:val="24"/>
          <w:szCs w:val="24"/>
        </w:rPr>
        <w:t>?</w:t>
      </w:r>
    </w:p>
    <w:p w14:paraId="5F94887B" w14:textId="0CEACB87" w:rsidR="00F52EDF" w:rsidRDefault="00F52EDF" w:rsidP="005C048B">
      <w:pPr>
        <w:spacing w:after="0"/>
        <w:ind w:left="709" w:hanging="709"/>
        <w:rPr>
          <w:rFonts w:ascii="Arial" w:hAnsi="Arial" w:cs="Arial"/>
          <w:b/>
          <w:bCs/>
          <w:i/>
          <w:iCs/>
          <w:color w:val="FF0000"/>
          <w:sz w:val="24"/>
          <w:szCs w:val="24"/>
        </w:rPr>
      </w:pPr>
    </w:p>
    <w:p w14:paraId="268EC1E7" w14:textId="4DB175D0" w:rsidR="00AC4B3F" w:rsidRDefault="00AC4B3F" w:rsidP="005C048B">
      <w:pPr>
        <w:spacing w:after="0"/>
        <w:ind w:left="709" w:hanging="709"/>
        <w:rPr>
          <w:rFonts w:ascii="Arial" w:hAnsi="Arial" w:cs="Arial"/>
          <w:b/>
          <w:bCs/>
          <w:i/>
          <w:iCs/>
          <w:color w:val="FF0000"/>
          <w:sz w:val="24"/>
          <w:szCs w:val="24"/>
        </w:rPr>
      </w:pPr>
    </w:p>
    <w:p w14:paraId="2C017D90" w14:textId="77777777" w:rsidR="00AC4B3F" w:rsidRDefault="00AC4B3F" w:rsidP="005C048B">
      <w:pPr>
        <w:spacing w:after="0"/>
        <w:ind w:left="709" w:hanging="709"/>
        <w:rPr>
          <w:rFonts w:ascii="Arial" w:hAnsi="Arial" w:cs="Arial"/>
          <w:b/>
          <w:bCs/>
          <w:i/>
          <w:iCs/>
          <w:color w:val="FF0000"/>
          <w:sz w:val="24"/>
          <w:szCs w:val="24"/>
        </w:rPr>
      </w:pPr>
    </w:p>
    <w:p w14:paraId="0D530881" w14:textId="4E6A779D" w:rsidR="00F52EDF" w:rsidRPr="00F52EDF" w:rsidRDefault="00F52EDF" w:rsidP="005C048B">
      <w:pPr>
        <w:spacing w:after="0"/>
        <w:ind w:left="709" w:hanging="709"/>
        <w:rPr>
          <w:rFonts w:ascii="Arial" w:hAnsi="Arial" w:cs="Arial"/>
          <w:b/>
          <w:bCs/>
          <w:sz w:val="24"/>
          <w:szCs w:val="24"/>
        </w:rPr>
      </w:pPr>
      <w:r w:rsidRPr="00F52EDF">
        <w:rPr>
          <w:rFonts w:ascii="Arial" w:hAnsi="Arial" w:cs="Arial"/>
          <w:b/>
          <w:bCs/>
          <w:sz w:val="24"/>
          <w:szCs w:val="24"/>
        </w:rPr>
        <w:t>ANNEX A</w:t>
      </w:r>
    </w:p>
    <w:p w14:paraId="011F328A" w14:textId="7C994F02" w:rsidR="00F52EDF" w:rsidRPr="00F52EDF" w:rsidRDefault="00F52EDF" w:rsidP="005C048B">
      <w:pPr>
        <w:spacing w:after="0"/>
        <w:ind w:left="709" w:hanging="709"/>
        <w:rPr>
          <w:rFonts w:ascii="Arial" w:hAnsi="Arial" w:cs="Arial"/>
          <w:b/>
          <w:bCs/>
          <w:sz w:val="24"/>
          <w:szCs w:val="24"/>
        </w:rPr>
      </w:pPr>
    </w:p>
    <w:p w14:paraId="2078F7A7" w14:textId="5546EFE0" w:rsidR="00F52EDF" w:rsidRPr="00F52EDF" w:rsidRDefault="00AC4B3F" w:rsidP="005C048B">
      <w:pPr>
        <w:spacing w:after="0"/>
        <w:ind w:left="709" w:hanging="709"/>
        <w:rPr>
          <w:rFonts w:ascii="Arial" w:hAnsi="Arial" w:cs="Arial"/>
          <w:b/>
          <w:bCs/>
          <w:sz w:val="24"/>
          <w:szCs w:val="24"/>
        </w:rPr>
      </w:pPr>
      <w:r>
        <w:rPr>
          <w:rFonts w:ascii="Arial" w:hAnsi="Arial" w:cs="Arial"/>
          <w:b/>
          <w:bCs/>
          <w:sz w:val="24"/>
          <w:szCs w:val="24"/>
        </w:rPr>
        <w:object w:dxaOrig="1534" w:dyaOrig="997" w14:anchorId="1D6D56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Embed" ProgID="Acrobat.Document.DC" ShapeID="_x0000_i1025" DrawAspect="Icon" ObjectID="_1742039131" r:id="rId10"/>
        </w:object>
      </w:r>
    </w:p>
    <w:p w14:paraId="2CA0EC26" w14:textId="1B577961" w:rsidR="00F52EDF" w:rsidRPr="00F52EDF" w:rsidRDefault="00F52EDF" w:rsidP="005C048B">
      <w:pPr>
        <w:spacing w:after="0"/>
        <w:ind w:left="709" w:hanging="709"/>
        <w:rPr>
          <w:rFonts w:ascii="Arial" w:hAnsi="Arial" w:cs="Arial"/>
          <w:b/>
          <w:bCs/>
          <w:sz w:val="24"/>
          <w:szCs w:val="24"/>
        </w:rPr>
      </w:pPr>
    </w:p>
    <w:p w14:paraId="5A847657" w14:textId="5A0F52B1" w:rsidR="00F52EDF" w:rsidRDefault="00F52EDF" w:rsidP="005C048B">
      <w:pPr>
        <w:spacing w:after="0"/>
        <w:ind w:left="709" w:hanging="709"/>
        <w:rPr>
          <w:rFonts w:ascii="Arial" w:hAnsi="Arial" w:cs="Arial"/>
          <w:b/>
          <w:bCs/>
          <w:sz w:val="24"/>
          <w:szCs w:val="24"/>
        </w:rPr>
      </w:pPr>
      <w:r w:rsidRPr="00F52EDF">
        <w:rPr>
          <w:rFonts w:ascii="Arial" w:hAnsi="Arial" w:cs="Arial"/>
          <w:b/>
          <w:bCs/>
          <w:sz w:val="24"/>
          <w:szCs w:val="24"/>
        </w:rPr>
        <w:t>ANNEX B</w:t>
      </w:r>
    </w:p>
    <w:p w14:paraId="18E43D79" w14:textId="77777777" w:rsidR="00341B8C" w:rsidRDefault="00341B8C" w:rsidP="005C048B">
      <w:pPr>
        <w:spacing w:after="0"/>
        <w:ind w:left="709" w:hanging="709"/>
        <w:rPr>
          <w:rFonts w:ascii="Arial" w:hAnsi="Arial" w:cs="Arial"/>
          <w:b/>
          <w:bCs/>
          <w:sz w:val="24"/>
          <w:szCs w:val="24"/>
        </w:rPr>
      </w:pPr>
    </w:p>
    <w:p w14:paraId="7A2C421E" w14:textId="202D98AD" w:rsidR="00341B8C" w:rsidRPr="00F52EDF" w:rsidRDefault="00AC4B3F" w:rsidP="005C048B">
      <w:pPr>
        <w:spacing w:after="0"/>
        <w:ind w:left="709" w:hanging="709"/>
        <w:rPr>
          <w:rFonts w:ascii="Arial" w:hAnsi="Arial" w:cs="Arial"/>
          <w:b/>
          <w:bCs/>
          <w:sz w:val="24"/>
          <w:szCs w:val="24"/>
        </w:rPr>
      </w:pPr>
      <w:r>
        <w:rPr>
          <w:rFonts w:ascii="Arial" w:hAnsi="Arial" w:cs="Arial"/>
          <w:b/>
          <w:bCs/>
          <w:sz w:val="24"/>
          <w:szCs w:val="24"/>
        </w:rPr>
        <w:object w:dxaOrig="1534" w:dyaOrig="997" w14:anchorId="1046F327">
          <v:shape id="_x0000_i1026" type="#_x0000_t75" style="width:76.5pt;height:49.5pt" o:ole="">
            <v:imagedata r:id="rId11" o:title=""/>
          </v:shape>
          <o:OLEObject Type="Embed" ProgID="Acrobat.Document.DC" ShapeID="_x0000_i1026" DrawAspect="Icon" ObjectID="_1742039132" r:id="rId12"/>
        </w:object>
      </w:r>
    </w:p>
    <w:sectPr w:rsidR="00341B8C" w:rsidRPr="00F52E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BFD8E" w14:textId="77777777" w:rsidR="002479AA" w:rsidRDefault="002479AA" w:rsidP="002479AA">
      <w:pPr>
        <w:spacing w:after="0" w:line="240" w:lineRule="auto"/>
      </w:pPr>
      <w:r>
        <w:separator/>
      </w:r>
    </w:p>
  </w:endnote>
  <w:endnote w:type="continuationSeparator" w:id="0">
    <w:p w14:paraId="0ED13F75" w14:textId="77777777" w:rsidR="002479AA" w:rsidRDefault="002479AA" w:rsidP="00247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4439D" w14:textId="77777777" w:rsidR="002479AA" w:rsidRDefault="002479AA" w:rsidP="002479AA">
      <w:pPr>
        <w:spacing w:after="0" w:line="240" w:lineRule="auto"/>
      </w:pPr>
      <w:r>
        <w:separator/>
      </w:r>
    </w:p>
  </w:footnote>
  <w:footnote w:type="continuationSeparator" w:id="0">
    <w:p w14:paraId="3D35B7CF" w14:textId="77777777" w:rsidR="002479AA" w:rsidRDefault="002479AA" w:rsidP="002479AA">
      <w:pPr>
        <w:spacing w:after="0" w:line="240" w:lineRule="auto"/>
      </w:pPr>
      <w:r>
        <w:continuationSeparator/>
      </w:r>
    </w:p>
  </w:footnote>
  <w:footnote w:id="1">
    <w:p w14:paraId="0792D8DB" w14:textId="77DE0D5F" w:rsidR="002479AA" w:rsidRDefault="002479AA">
      <w:pPr>
        <w:pStyle w:val="FootnoteText"/>
      </w:pPr>
      <w:r>
        <w:rPr>
          <w:rStyle w:val="FootnoteReference"/>
        </w:rPr>
        <w:footnoteRef/>
      </w:r>
      <w:r>
        <w:t xml:space="preserve"> Given under </w:t>
      </w:r>
      <w:hyperlink r:id="rId1" w:history="1">
        <w:r w:rsidRPr="002479AA">
          <w:rPr>
            <w:rStyle w:val="Hyperlink"/>
          </w:rPr>
          <w:t>Article 67 of The Education and Libraries (Northern Ireland) Order 1986</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E6BBB"/>
    <w:multiLevelType w:val="hybridMultilevel"/>
    <w:tmpl w:val="1D3A7F7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FAB3AA1"/>
    <w:multiLevelType w:val="hybridMultilevel"/>
    <w:tmpl w:val="6EF661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0174E70"/>
    <w:multiLevelType w:val="hybridMultilevel"/>
    <w:tmpl w:val="874C14B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982008"/>
    <w:multiLevelType w:val="hybridMultilevel"/>
    <w:tmpl w:val="034A9D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2AA7F00"/>
    <w:multiLevelType w:val="hybridMultilevel"/>
    <w:tmpl w:val="0B5623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C614F07"/>
    <w:multiLevelType w:val="hybridMultilevel"/>
    <w:tmpl w:val="FC2CE5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FDE759F"/>
    <w:multiLevelType w:val="hybridMultilevel"/>
    <w:tmpl w:val="4C48B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FA2C25"/>
    <w:multiLevelType w:val="hybridMultilevel"/>
    <w:tmpl w:val="BD56203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B623DA8"/>
    <w:multiLevelType w:val="hybridMultilevel"/>
    <w:tmpl w:val="4802CE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334721972">
    <w:abstractNumId w:val="0"/>
  </w:num>
  <w:num w:numId="2" w16cid:durableId="1688748466">
    <w:abstractNumId w:val="8"/>
  </w:num>
  <w:num w:numId="3" w16cid:durableId="1428619748">
    <w:abstractNumId w:val="2"/>
  </w:num>
  <w:num w:numId="4" w16cid:durableId="822047247">
    <w:abstractNumId w:val="3"/>
  </w:num>
  <w:num w:numId="5" w16cid:durableId="1397164256">
    <w:abstractNumId w:val="4"/>
  </w:num>
  <w:num w:numId="6" w16cid:durableId="1806972430">
    <w:abstractNumId w:val="6"/>
  </w:num>
  <w:num w:numId="7" w16cid:durableId="103690312">
    <w:abstractNumId w:val="7"/>
  </w:num>
  <w:num w:numId="8" w16cid:durableId="395514958">
    <w:abstractNumId w:val="5"/>
  </w:num>
  <w:num w:numId="9" w16cid:durableId="402724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CCD"/>
    <w:rsid w:val="00067204"/>
    <w:rsid w:val="000B4EBF"/>
    <w:rsid w:val="000C52C5"/>
    <w:rsid w:val="000F0E73"/>
    <w:rsid w:val="000F6229"/>
    <w:rsid w:val="00113CA0"/>
    <w:rsid w:val="00121D9D"/>
    <w:rsid w:val="0012680D"/>
    <w:rsid w:val="00135D8F"/>
    <w:rsid w:val="00147E44"/>
    <w:rsid w:val="00154FE6"/>
    <w:rsid w:val="0016586B"/>
    <w:rsid w:val="00173B89"/>
    <w:rsid w:val="001A1D17"/>
    <w:rsid w:val="001F402E"/>
    <w:rsid w:val="00230EBD"/>
    <w:rsid w:val="00233094"/>
    <w:rsid w:val="002479AA"/>
    <w:rsid w:val="002648BE"/>
    <w:rsid w:val="00296CCD"/>
    <w:rsid w:val="002B23D9"/>
    <w:rsid w:val="002D1081"/>
    <w:rsid w:val="0032309D"/>
    <w:rsid w:val="00337C54"/>
    <w:rsid w:val="003413CE"/>
    <w:rsid w:val="00341B8C"/>
    <w:rsid w:val="00376723"/>
    <w:rsid w:val="00377BE9"/>
    <w:rsid w:val="00390836"/>
    <w:rsid w:val="00396EA5"/>
    <w:rsid w:val="003E1343"/>
    <w:rsid w:val="00410393"/>
    <w:rsid w:val="004644AF"/>
    <w:rsid w:val="0047099A"/>
    <w:rsid w:val="004A06D9"/>
    <w:rsid w:val="004A1396"/>
    <w:rsid w:val="004B2A99"/>
    <w:rsid w:val="004C46D3"/>
    <w:rsid w:val="004D0E08"/>
    <w:rsid w:val="005109F0"/>
    <w:rsid w:val="005115B6"/>
    <w:rsid w:val="00527889"/>
    <w:rsid w:val="00571734"/>
    <w:rsid w:val="0058350F"/>
    <w:rsid w:val="005C048B"/>
    <w:rsid w:val="005C3B8F"/>
    <w:rsid w:val="005D25DD"/>
    <w:rsid w:val="005E34EB"/>
    <w:rsid w:val="005E7EA1"/>
    <w:rsid w:val="00613E64"/>
    <w:rsid w:val="0063050F"/>
    <w:rsid w:val="0065261E"/>
    <w:rsid w:val="00667041"/>
    <w:rsid w:val="00667289"/>
    <w:rsid w:val="00683C8D"/>
    <w:rsid w:val="006918F3"/>
    <w:rsid w:val="006B18A8"/>
    <w:rsid w:val="006B33C1"/>
    <w:rsid w:val="006B7DBD"/>
    <w:rsid w:val="006F73B3"/>
    <w:rsid w:val="00705B37"/>
    <w:rsid w:val="00730474"/>
    <w:rsid w:val="0075009E"/>
    <w:rsid w:val="0075436E"/>
    <w:rsid w:val="00763438"/>
    <w:rsid w:val="00766047"/>
    <w:rsid w:val="007B0F13"/>
    <w:rsid w:val="007B7364"/>
    <w:rsid w:val="007D7371"/>
    <w:rsid w:val="007E682E"/>
    <w:rsid w:val="007F56B2"/>
    <w:rsid w:val="00800F44"/>
    <w:rsid w:val="00815495"/>
    <w:rsid w:val="00820ED6"/>
    <w:rsid w:val="0086780C"/>
    <w:rsid w:val="00867DB6"/>
    <w:rsid w:val="0088059A"/>
    <w:rsid w:val="008C0436"/>
    <w:rsid w:val="008E08D8"/>
    <w:rsid w:val="008F05EB"/>
    <w:rsid w:val="00905940"/>
    <w:rsid w:val="00922CB0"/>
    <w:rsid w:val="00962351"/>
    <w:rsid w:val="009801F7"/>
    <w:rsid w:val="009B72A1"/>
    <w:rsid w:val="009C4D57"/>
    <w:rsid w:val="009C7810"/>
    <w:rsid w:val="009F33CC"/>
    <w:rsid w:val="00A00AA4"/>
    <w:rsid w:val="00A14EDF"/>
    <w:rsid w:val="00A33BAC"/>
    <w:rsid w:val="00A87C98"/>
    <w:rsid w:val="00A936A4"/>
    <w:rsid w:val="00A97F1E"/>
    <w:rsid w:val="00AC4B3F"/>
    <w:rsid w:val="00AE2ED7"/>
    <w:rsid w:val="00AF1D5C"/>
    <w:rsid w:val="00B36485"/>
    <w:rsid w:val="00B75C08"/>
    <w:rsid w:val="00B82A31"/>
    <w:rsid w:val="00B86BBF"/>
    <w:rsid w:val="00B874E5"/>
    <w:rsid w:val="00B878E3"/>
    <w:rsid w:val="00BB1AA8"/>
    <w:rsid w:val="00BB3725"/>
    <w:rsid w:val="00BB7457"/>
    <w:rsid w:val="00BE1B96"/>
    <w:rsid w:val="00C06752"/>
    <w:rsid w:val="00C06D14"/>
    <w:rsid w:val="00C10FB7"/>
    <w:rsid w:val="00C33CFA"/>
    <w:rsid w:val="00C37284"/>
    <w:rsid w:val="00C674E9"/>
    <w:rsid w:val="00C92FD3"/>
    <w:rsid w:val="00D01C99"/>
    <w:rsid w:val="00D051F9"/>
    <w:rsid w:val="00D10B2B"/>
    <w:rsid w:val="00D2200F"/>
    <w:rsid w:val="00D23270"/>
    <w:rsid w:val="00D27455"/>
    <w:rsid w:val="00D33ED7"/>
    <w:rsid w:val="00D45A21"/>
    <w:rsid w:val="00D55665"/>
    <w:rsid w:val="00D566CF"/>
    <w:rsid w:val="00D67006"/>
    <w:rsid w:val="00D8540E"/>
    <w:rsid w:val="00D9551A"/>
    <w:rsid w:val="00DB0ED8"/>
    <w:rsid w:val="00DD5BB5"/>
    <w:rsid w:val="00DF52D0"/>
    <w:rsid w:val="00DF6A80"/>
    <w:rsid w:val="00E637D4"/>
    <w:rsid w:val="00E763DB"/>
    <w:rsid w:val="00E8403D"/>
    <w:rsid w:val="00E85E8A"/>
    <w:rsid w:val="00EA14C5"/>
    <w:rsid w:val="00F01FE9"/>
    <w:rsid w:val="00F04688"/>
    <w:rsid w:val="00F16166"/>
    <w:rsid w:val="00F27E26"/>
    <w:rsid w:val="00F52EDF"/>
    <w:rsid w:val="00F632FA"/>
    <w:rsid w:val="00F7630A"/>
    <w:rsid w:val="00FB3159"/>
    <w:rsid w:val="00FB5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5D81BE4"/>
  <w15:chartTrackingRefBased/>
  <w15:docId w15:val="{483CAAF9-A048-4631-8A02-F31401F26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B2B"/>
    <w:pPr>
      <w:ind w:left="720"/>
      <w:contextualSpacing/>
    </w:pPr>
  </w:style>
  <w:style w:type="paragraph" w:styleId="BalloonText">
    <w:name w:val="Balloon Text"/>
    <w:basedOn w:val="Normal"/>
    <w:link w:val="BalloonTextChar"/>
    <w:uiPriority w:val="99"/>
    <w:semiHidden/>
    <w:unhideWhenUsed/>
    <w:rsid w:val="00D854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40E"/>
    <w:rPr>
      <w:rFonts w:ascii="Segoe UI" w:hAnsi="Segoe UI" w:cs="Segoe UI"/>
      <w:sz w:val="18"/>
      <w:szCs w:val="18"/>
    </w:rPr>
  </w:style>
  <w:style w:type="paragraph" w:customStyle="1" w:styleId="Default">
    <w:name w:val="Default"/>
    <w:rsid w:val="0012680D"/>
    <w:pPr>
      <w:autoSpaceDE w:val="0"/>
      <w:autoSpaceDN w:val="0"/>
      <w:adjustRightInd w:val="0"/>
      <w:spacing w:after="0" w:line="240" w:lineRule="auto"/>
    </w:pPr>
    <w:rPr>
      <w:rFonts w:ascii="Helvetica" w:hAnsi="Helvetica" w:cs="Helvetica"/>
      <w:color w:val="000000"/>
      <w:sz w:val="24"/>
      <w:szCs w:val="24"/>
    </w:rPr>
  </w:style>
  <w:style w:type="character" w:styleId="Hyperlink">
    <w:name w:val="Hyperlink"/>
    <w:basedOn w:val="DefaultParagraphFont"/>
    <w:uiPriority w:val="99"/>
    <w:unhideWhenUsed/>
    <w:rsid w:val="00B878E3"/>
    <w:rPr>
      <w:color w:val="0563C1" w:themeColor="hyperlink"/>
      <w:u w:val="single"/>
    </w:rPr>
  </w:style>
  <w:style w:type="character" w:styleId="UnresolvedMention">
    <w:name w:val="Unresolved Mention"/>
    <w:basedOn w:val="DefaultParagraphFont"/>
    <w:uiPriority w:val="99"/>
    <w:semiHidden/>
    <w:unhideWhenUsed/>
    <w:rsid w:val="00B878E3"/>
    <w:rPr>
      <w:color w:val="605E5C"/>
      <w:shd w:val="clear" w:color="auto" w:fill="E1DFDD"/>
    </w:rPr>
  </w:style>
  <w:style w:type="paragraph" w:styleId="Revision">
    <w:name w:val="Revision"/>
    <w:hidden/>
    <w:uiPriority w:val="99"/>
    <w:semiHidden/>
    <w:rsid w:val="00230EBD"/>
    <w:pPr>
      <w:spacing w:after="0" w:line="240" w:lineRule="auto"/>
    </w:pPr>
  </w:style>
  <w:style w:type="paragraph" w:styleId="FootnoteText">
    <w:name w:val="footnote text"/>
    <w:basedOn w:val="Normal"/>
    <w:link w:val="FootnoteTextChar"/>
    <w:uiPriority w:val="99"/>
    <w:semiHidden/>
    <w:unhideWhenUsed/>
    <w:rsid w:val="002479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79AA"/>
    <w:rPr>
      <w:sz w:val="20"/>
      <w:szCs w:val="20"/>
    </w:rPr>
  </w:style>
  <w:style w:type="character" w:styleId="FootnoteReference">
    <w:name w:val="footnote reference"/>
    <w:basedOn w:val="DefaultParagraphFont"/>
    <w:uiPriority w:val="99"/>
    <w:semiHidden/>
    <w:unhideWhenUsed/>
    <w:rsid w:val="002479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tcni.org.uk/cmsfiles/Resource365/Resources/Publications/The_Reflective_Professio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legislation.gov.uk/nisi/1986/594/article/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953D52AC5EFC34CA92E8D6091DF89C8" ma:contentTypeVersion="15" ma:contentTypeDescription="Create a new document." ma:contentTypeScope="" ma:versionID="9cbff150964d7d31ddf086f80b2d5bcc">
  <xsd:schema xmlns:xsd="http://www.w3.org/2001/XMLSchema" xmlns:xs="http://www.w3.org/2001/XMLSchema" xmlns:p="http://schemas.microsoft.com/office/2006/metadata/properties" xmlns:ns2="3995883a-d786-4b4f-a5c8-93a53e2574e9" xmlns:ns3="3c323e8f-b349-459e-99de-466e326f23a6" targetNamespace="http://schemas.microsoft.com/office/2006/metadata/properties" ma:root="true" ma:fieldsID="da094f6b1a8d30fe8e341d2132a1b6fe" ns2:_="" ns3:_="">
    <xsd:import namespace="3995883a-d786-4b4f-a5c8-93a53e2574e9"/>
    <xsd:import namespace="3c323e8f-b349-459e-99de-466e326f23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5883a-d786-4b4f-a5c8-93a53e257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e29533-ce21-4a72-8119-d08375b93a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323e8f-b349-459e-99de-466e326f23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b2454f3-7b2c-42cd-8942-0b44d0a08ad4}" ma:internalName="TaxCatchAll" ma:showField="CatchAllData" ma:web="3c323e8f-b349-459e-99de-466e326f23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995883a-d786-4b4f-a5c8-93a53e2574e9">
      <Terms xmlns="http://schemas.microsoft.com/office/infopath/2007/PartnerControls"/>
    </lcf76f155ced4ddcb4097134ff3c332f>
    <TaxCatchAll xmlns="3c323e8f-b349-459e-99de-466e326f23a6" xsi:nil="true"/>
  </documentManagement>
</p:properties>
</file>

<file path=customXml/itemProps1.xml><?xml version="1.0" encoding="utf-8"?>
<ds:datastoreItem xmlns:ds="http://schemas.openxmlformats.org/officeDocument/2006/customXml" ds:itemID="{8C5B70F6-A713-48BF-9495-E56541268CE8}">
  <ds:schemaRefs>
    <ds:schemaRef ds:uri="http://schemas.openxmlformats.org/officeDocument/2006/bibliography"/>
  </ds:schemaRefs>
</ds:datastoreItem>
</file>

<file path=customXml/itemProps2.xml><?xml version="1.0" encoding="utf-8"?>
<ds:datastoreItem xmlns:ds="http://schemas.openxmlformats.org/officeDocument/2006/customXml" ds:itemID="{C504C7FE-4559-4A81-804C-5996081E627D}"/>
</file>

<file path=customXml/itemProps3.xml><?xml version="1.0" encoding="utf-8"?>
<ds:datastoreItem xmlns:ds="http://schemas.openxmlformats.org/officeDocument/2006/customXml" ds:itemID="{626EC940-19D9-48AD-B353-33D1115B919E}"/>
</file>

<file path=customXml/itemProps4.xml><?xml version="1.0" encoding="utf-8"?>
<ds:datastoreItem xmlns:ds="http://schemas.openxmlformats.org/officeDocument/2006/customXml" ds:itemID="{AF187509-3DD3-4323-A0C4-031D7BFFCF3B}"/>
</file>

<file path=docProps/app.xml><?xml version="1.0" encoding="utf-8"?>
<Properties xmlns="http://schemas.openxmlformats.org/officeDocument/2006/extended-properties" xmlns:vt="http://schemas.openxmlformats.org/officeDocument/2006/docPropsVTypes">
  <Template>Normal</Template>
  <TotalTime>1</TotalTime>
  <Pages>5</Pages>
  <Words>1755</Words>
  <Characters>10006</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McGaffin</dc:creator>
  <cp:keywords/>
  <dc:description/>
  <cp:lastModifiedBy>Max Fincher</cp:lastModifiedBy>
  <cp:revision>2</cp:revision>
  <dcterms:created xsi:type="dcterms:W3CDTF">2023-04-03T13:59:00Z</dcterms:created>
  <dcterms:modified xsi:type="dcterms:W3CDTF">2023-04-03T13:59:00Z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0x0101008953D52AC5EFC34CA92E8D6091DF89C8</vt:lpwstr>
  </property>
</Properties>
</file>