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CC6DF" w14:textId="77777777" w:rsidR="00B551F3" w:rsidRDefault="00B551F3" w:rsidP="00B551F3">
      <w:pPr>
        <w:jc w:val="both"/>
        <w:rPr>
          <w:rFonts w:ascii="Frutiger 45 Light" w:hAnsi="Frutiger 45 Light"/>
        </w:rPr>
      </w:pPr>
      <w:r>
        <w:rPr>
          <w:rFonts w:ascii="Frutiger 45 Light" w:hAnsi="Frutiger 45 Light"/>
          <w:noProof/>
        </w:rPr>
        <mc:AlternateContent>
          <mc:Choice Requires="wps">
            <w:drawing>
              <wp:anchor distT="0" distB="0" distL="114300" distR="114300" simplePos="0" relativeHeight="251660288" behindDoc="0" locked="0" layoutInCell="1" allowOverlap="1" wp14:anchorId="4E0E9DB8" wp14:editId="21C5723D">
                <wp:simplePos x="0" y="0"/>
                <wp:positionH relativeFrom="column">
                  <wp:posOffset>50800</wp:posOffset>
                </wp:positionH>
                <wp:positionV relativeFrom="page">
                  <wp:posOffset>593090</wp:posOffset>
                </wp:positionV>
                <wp:extent cx="5960110" cy="1959610"/>
                <wp:effectExtent l="3175"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7B10A" w14:textId="77777777" w:rsidR="00B551F3" w:rsidRDefault="00B551F3" w:rsidP="00B551F3">
                            <w:pPr>
                              <w:jc w:val="right"/>
                              <w:rPr>
                                <w:sz w:val="12"/>
                              </w:rPr>
                            </w:pPr>
                            <w:r>
                              <w:rPr>
                                <w:noProof/>
                                <w:sz w:val="12"/>
                                <w:lang w:val="en-GB" w:eastAsia="en-GB"/>
                              </w:rPr>
                              <w:drawing>
                                <wp:inline distT="0" distB="0" distL="0" distR="0" wp14:anchorId="79C78195" wp14:editId="75C33081">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Pr>
                                <w:sz w:val="12"/>
                              </w:rPr>
                              <w:tab/>
                              <w:t xml:space="preserve">                    </w:t>
                            </w:r>
                          </w:p>
                          <w:p w14:paraId="06BFB756" w14:textId="77777777" w:rsidR="00B551F3" w:rsidRDefault="00B551F3" w:rsidP="00B551F3">
                            <w:pPr>
                              <w:ind w:left="5760" w:firstLine="720"/>
                              <w:jc w:val="right"/>
                              <w:rPr>
                                <w:i/>
                                <w:color w:val="002060"/>
                                <w:sz w:val="16"/>
                                <w:szCs w:val="16"/>
                              </w:rPr>
                            </w:pPr>
                            <w:r w:rsidRPr="00AB568E">
                              <w:rPr>
                                <w:sz w:val="16"/>
                                <w:szCs w:val="16"/>
                              </w:rPr>
                              <w:t xml:space="preserve"> </w:t>
                            </w:r>
                          </w:p>
                          <w:p w14:paraId="03E90489" w14:textId="77777777" w:rsidR="00B551F3" w:rsidRDefault="00B551F3" w:rsidP="00B551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E9DB8" id="_x0000_t202" coordsize="21600,21600" o:spt="202" path="m,l,21600r21600,l21600,xe">
                <v:stroke joinstyle="miter"/>
                <v:path gradientshapeok="t" o:connecttype="rect"/>
              </v:shapetype>
              <v:shape id="Text Box 2" o:spid="_x0000_s1026" type="#_x0000_t202" style="position:absolute;left:0;text-align:left;margin-left:4pt;margin-top:46.7pt;width:469.3pt;height:15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" filled="f" stroked="f">
                <v:textbox>
                  <w:txbxContent>
                    <w:p w14:paraId="4D27B10A" w14:textId="77777777" w:rsidR="00B551F3" w:rsidRDefault="00B551F3" w:rsidP="00B551F3">
                      <w:pPr>
                        <w:jc w:val="right"/>
                        <w:rPr>
                          <w:sz w:val="12"/>
                        </w:rPr>
                      </w:pPr>
                      <w:r>
                        <w:rPr>
                          <w:noProof/>
                          <w:sz w:val="12"/>
                          <w:lang w:val="en-GB" w:eastAsia="en-GB"/>
                        </w:rPr>
                        <w:drawing>
                          <wp:inline distT="0" distB="0" distL="0" distR="0" wp14:anchorId="79C78195" wp14:editId="75C33081">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9"/>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Pr>
                          <w:sz w:val="12"/>
                        </w:rPr>
                        <w:tab/>
                        <w:t xml:space="preserve">                    </w:t>
                      </w:r>
                    </w:p>
                    <w:p w14:paraId="06BFB756" w14:textId="77777777" w:rsidR="00B551F3" w:rsidRDefault="00B551F3" w:rsidP="00B551F3">
                      <w:pPr>
                        <w:ind w:left="5760" w:firstLine="720"/>
                        <w:jc w:val="right"/>
                        <w:rPr>
                          <w:i/>
                          <w:color w:val="002060"/>
                          <w:sz w:val="16"/>
                          <w:szCs w:val="16"/>
                        </w:rPr>
                      </w:pPr>
                      <w:r w:rsidRPr="00AB568E">
                        <w:rPr>
                          <w:sz w:val="16"/>
                          <w:szCs w:val="16"/>
                        </w:rPr>
                        <w:t xml:space="preserve"> </w:t>
                      </w:r>
                    </w:p>
                    <w:p w14:paraId="03E90489" w14:textId="77777777" w:rsidR="00B551F3" w:rsidRDefault="00B551F3" w:rsidP="00B551F3"/>
                  </w:txbxContent>
                </v:textbox>
                <w10:wrap anchory="page"/>
              </v:shape>
            </w:pict>
          </mc:Fallback>
        </mc:AlternateContent>
      </w:r>
    </w:p>
    <w:p w14:paraId="6826486E" w14:textId="77777777" w:rsidR="00B551F3" w:rsidRDefault="00B551F3" w:rsidP="00B551F3">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9264" behindDoc="0" locked="0" layoutInCell="1" allowOverlap="1" wp14:anchorId="2EBC5232" wp14:editId="09AA1F4F">
                <wp:simplePos x="0" y="0"/>
                <wp:positionH relativeFrom="column">
                  <wp:posOffset>139065</wp:posOffset>
                </wp:positionH>
                <wp:positionV relativeFrom="paragraph">
                  <wp:posOffset>51435</wp:posOffset>
                </wp:positionV>
                <wp:extent cx="2908300" cy="457200"/>
                <wp:effectExtent l="0" t="0" r="635"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8BCF9" w14:textId="77777777" w:rsidR="00B551F3" w:rsidRPr="00AB568E" w:rsidRDefault="00B551F3" w:rsidP="00B551F3">
                            <w:pPr>
                              <w:rPr>
                                <w:i/>
                                <w:color w:val="333399"/>
                              </w:rPr>
                            </w:pPr>
                            <w:r w:rsidRPr="00AB568E">
                              <w:rPr>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C5232" id="Text Box 5" o:spid="_x0000_s1027" type="#_x0000_t202" style="position:absolute;left:0;text-align:left;margin-left:10.95pt;margin-top:4.05pt;width:22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" stroked="f">
                <v:textbox>
                  <w:txbxContent>
                    <w:p w14:paraId="5C28BCF9" w14:textId="77777777" w:rsidR="00B551F3" w:rsidRPr="00AB568E" w:rsidRDefault="00B551F3" w:rsidP="00B551F3">
                      <w:pPr>
                        <w:rPr>
                          <w:i/>
                          <w:color w:val="333399"/>
                        </w:rPr>
                      </w:pPr>
                      <w:r w:rsidRPr="00AB568E">
                        <w:rPr>
                          <w:i/>
                          <w:color w:val="333399"/>
                        </w:rPr>
                        <w:t>Promoting Quality in Teacher Education</w:t>
                      </w:r>
                    </w:p>
                  </w:txbxContent>
                </v:textbox>
              </v:shape>
            </w:pict>
          </mc:Fallback>
        </mc:AlternateContent>
      </w:r>
    </w:p>
    <w:p w14:paraId="1FB581A0" w14:textId="77777777" w:rsidR="00B551F3" w:rsidRDefault="00B551F3" w:rsidP="00B551F3">
      <w:pPr>
        <w:jc w:val="both"/>
        <w:rPr>
          <w:rFonts w:ascii="Frutiger 45 Light" w:hAnsi="Frutiger 45 Light"/>
        </w:rPr>
      </w:pPr>
    </w:p>
    <w:p w14:paraId="113A8C8D" w14:textId="77777777" w:rsidR="00B551F3" w:rsidRDefault="00B551F3" w:rsidP="00B551F3">
      <w:pPr>
        <w:jc w:val="both"/>
        <w:rPr>
          <w:rFonts w:ascii="Frutiger 45 Light" w:hAnsi="Frutiger 45 Light"/>
        </w:rPr>
      </w:pPr>
    </w:p>
    <w:p w14:paraId="0E2EC442" w14:textId="77777777" w:rsidR="00B551F3" w:rsidRDefault="00B551F3" w:rsidP="00B551F3">
      <w:pPr>
        <w:jc w:val="both"/>
        <w:rPr>
          <w:rFonts w:ascii="Frutiger 45 Light" w:hAnsi="Frutiger 45 Light"/>
        </w:rPr>
      </w:pPr>
    </w:p>
    <w:p w14:paraId="332BD2F2" w14:textId="77777777" w:rsidR="00B551F3" w:rsidRDefault="00B551F3" w:rsidP="00B551F3">
      <w:pPr>
        <w:jc w:val="both"/>
        <w:rPr>
          <w:rFonts w:ascii="Frutiger 45 Light" w:hAnsi="Frutiger 45 Light"/>
        </w:rPr>
      </w:pPr>
    </w:p>
    <w:p w14:paraId="334865E2" w14:textId="77777777" w:rsidR="00B551F3" w:rsidRDefault="00B551F3" w:rsidP="00B551F3">
      <w:pPr>
        <w:jc w:val="both"/>
        <w:rPr>
          <w:rFonts w:ascii="Frutiger 45 Light" w:hAnsi="Frutiger 45 Light"/>
        </w:rPr>
      </w:pPr>
    </w:p>
    <w:p w14:paraId="7B794C04" w14:textId="77777777" w:rsidR="00B551F3" w:rsidRDefault="00B551F3" w:rsidP="00B551F3">
      <w:pPr>
        <w:jc w:val="center"/>
        <w:rPr>
          <w:b/>
          <w:sz w:val="20"/>
          <w:szCs w:val="20"/>
        </w:rPr>
      </w:pPr>
    </w:p>
    <w:p w14:paraId="77662924" w14:textId="77777777" w:rsidR="00B551F3" w:rsidRDefault="00B551F3" w:rsidP="00B551F3">
      <w:pPr>
        <w:jc w:val="center"/>
        <w:rPr>
          <w:b/>
          <w:sz w:val="20"/>
          <w:szCs w:val="20"/>
        </w:rPr>
      </w:pPr>
    </w:p>
    <w:p w14:paraId="2545354D" w14:textId="77777777" w:rsidR="00B551F3" w:rsidRDefault="00B551F3" w:rsidP="00B551F3">
      <w:pPr>
        <w:jc w:val="both"/>
        <w:rPr>
          <w:rFonts w:ascii="Frutiger 45 Light" w:hAnsi="Frutiger 45 Light"/>
        </w:rPr>
      </w:pPr>
      <w:r>
        <w:rPr>
          <w:rFonts w:ascii="Frutiger 45 Light" w:hAnsi="Frutiger 45 Light"/>
          <w:noProof/>
        </w:rPr>
        <mc:AlternateContent>
          <mc:Choice Requires="wps">
            <w:drawing>
              <wp:anchor distT="0" distB="0" distL="114300" distR="114300" simplePos="0" relativeHeight="251661312" behindDoc="0" locked="0" layoutInCell="1" allowOverlap="1" wp14:anchorId="5E7FD6B0" wp14:editId="695C1898">
                <wp:simplePos x="0" y="0"/>
                <wp:positionH relativeFrom="column">
                  <wp:posOffset>50800</wp:posOffset>
                </wp:positionH>
                <wp:positionV relativeFrom="page">
                  <wp:posOffset>593090</wp:posOffset>
                </wp:positionV>
                <wp:extent cx="5960110" cy="1959610"/>
                <wp:effectExtent l="3175" t="254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207E7" w14:textId="77777777" w:rsidR="00B551F3" w:rsidRDefault="00B551F3" w:rsidP="00B551F3">
                            <w:pPr>
                              <w:jc w:val="right"/>
                              <w:rPr>
                                <w:sz w:val="12"/>
                              </w:rPr>
                            </w:pPr>
                            <w:r>
                              <w:rPr>
                                <w:noProof/>
                                <w:sz w:val="12"/>
                                <w:lang w:val="en-GB" w:eastAsia="en-GB"/>
                              </w:rPr>
                              <w:drawing>
                                <wp:inline distT="0" distB="0" distL="0" distR="0" wp14:anchorId="15664922" wp14:editId="10106343">
                                  <wp:extent cx="2240280" cy="1299845"/>
                                  <wp:effectExtent l="19050" t="0" r="7620" b="0"/>
                                  <wp:docPr id="4" name="Picture 4"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9"/>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Pr>
                                <w:sz w:val="12"/>
                              </w:rPr>
                              <w:tab/>
                              <w:t xml:space="preserve">                    </w:t>
                            </w:r>
                          </w:p>
                          <w:p w14:paraId="4005F0ED" w14:textId="77777777" w:rsidR="00B551F3" w:rsidRDefault="00B551F3" w:rsidP="00B551F3">
                            <w:pPr>
                              <w:ind w:left="5760" w:firstLine="720"/>
                              <w:jc w:val="right"/>
                              <w:rPr>
                                <w:i/>
                                <w:color w:val="002060"/>
                                <w:sz w:val="16"/>
                                <w:szCs w:val="16"/>
                              </w:rPr>
                            </w:pPr>
                            <w:r w:rsidRPr="00AB568E">
                              <w:rPr>
                                <w:sz w:val="16"/>
                                <w:szCs w:val="16"/>
                              </w:rPr>
                              <w:t xml:space="preserve"> </w:t>
                            </w:r>
                          </w:p>
                          <w:p w14:paraId="3EF87CEE" w14:textId="77777777" w:rsidR="00B551F3" w:rsidRDefault="00B551F3" w:rsidP="00B551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FD6B0" id="_x0000_s1028" type="#_x0000_t202" style="position:absolute;left:0;text-align:left;margin-left:4pt;margin-top:46.7pt;width:469.3pt;height:15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" filled="f" stroked="f">
                <v:textbox>
                  <w:txbxContent>
                    <w:p w14:paraId="225207E7" w14:textId="77777777" w:rsidR="00B551F3" w:rsidRDefault="00B551F3" w:rsidP="00B551F3">
                      <w:pPr>
                        <w:jc w:val="right"/>
                        <w:rPr>
                          <w:sz w:val="12"/>
                        </w:rPr>
                      </w:pPr>
                      <w:r>
                        <w:rPr>
                          <w:noProof/>
                          <w:sz w:val="12"/>
                          <w:lang w:val="en-GB" w:eastAsia="en-GB"/>
                        </w:rPr>
                        <w:drawing>
                          <wp:inline distT="0" distB="0" distL="0" distR="0" wp14:anchorId="15664922" wp14:editId="10106343">
                            <wp:extent cx="2240280" cy="1299845"/>
                            <wp:effectExtent l="19050" t="0" r="7620" b="0"/>
                            <wp:docPr id="4" name="Picture 4"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9"/>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Pr>
                          <w:sz w:val="12"/>
                        </w:rPr>
                        <w:tab/>
                        <w:t xml:space="preserve">                    </w:t>
                      </w:r>
                    </w:p>
                    <w:p w14:paraId="4005F0ED" w14:textId="77777777" w:rsidR="00B551F3" w:rsidRDefault="00B551F3" w:rsidP="00B551F3">
                      <w:pPr>
                        <w:ind w:left="5760" w:firstLine="720"/>
                        <w:jc w:val="right"/>
                        <w:rPr>
                          <w:i/>
                          <w:color w:val="002060"/>
                          <w:sz w:val="16"/>
                          <w:szCs w:val="16"/>
                        </w:rPr>
                      </w:pPr>
                      <w:r w:rsidRPr="00AB568E">
                        <w:rPr>
                          <w:sz w:val="16"/>
                          <w:szCs w:val="16"/>
                        </w:rPr>
                        <w:t xml:space="preserve"> </w:t>
                      </w:r>
                    </w:p>
                    <w:p w14:paraId="3EF87CEE" w14:textId="77777777" w:rsidR="00B551F3" w:rsidRDefault="00B551F3" w:rsidP="00B551F3"/>
                  </w:txbxContent>
                </v:textbox>
                <w10:wrap anchory="page"/>
              </v:shape>
            </w:pict>
          </mc:Fallback>
        </mc:AlternateContent>
      </w:r>
      <w:r>
        <w:rPr>
          <w:rFonts w:ascii="Frutiger 45 Light" w:hAnsi="Frutiger 45 Light"/>
        </w:rPr>
        <w:t xml:space="preserve"> </w:t>
      </w:r>
    </w:p>
    <w:p w14:paraId="6B1AA21D" w14:textId="77777777" w:rsidR="00B551F3" w:rsidRDefault="00B551F3" w:rsidP="00B551F3">
      <w:pPr>
        <w:rPr>
          <w:sz w:val="20"/>
          <w:szCs w:val="20"/>
        </w:rPr>
      </w:pPr>
    </w:p>
    <w:p w14:paraId="77CA15E3" w14:textId="77777777" w:rsidR="00B551F3" w:rsidRDefault="00B551F3" w:rsidP="00B551F3">
      <w:pPr>
        <w:rPr>
          <w:sz w:val="20"/>
          <w:szCs w:val="20"/>
        </w:rPr>
      </w:pPr>
    </w:p>
    <w:p w14:paraId="1EB6A046" w14:textId="77777777" w:rsidR="00B551F3" w:rsidRDefault="00B551F3" w:rsidP="00B551F3">
      <w:pPr>
        <w:rPr>
          <w:sz w:val="20"/>
          <w:szCs w:val="20"/>
        </w:rPr>
      </w:pPr>
    </w:p>
    <w:p w14:paraId="5F2F6C2E" w14:textId="77777777" w:rsidR="00B551F3" w:rsidRPr="006F0E13" w:rsidRDefault="00B551F3" w:rsidP="00B551F3">
      <w:pPr>
        <w:jc w:val="center"/>
        <w:rPr>
          <w:b/>
        </w:rPr>
      </w:pPr>
      <w:r w:rsidRPr="006F0E13">
        <w:rPr>
          <w:b/>
        </w:rPr>
        <w:t xml:space="preserve">Note of the UCET Executive </w:t>
      </w:r>
      <w:r>
        <w:rPr>
          <w:b/>
        </w:rPr>
        <w:t>Committee meeting, held on 6</w:t>
      </w:r>
      <w:r w:rsidRPr="0064473B">
        <w:rPr>
          <w:b/>
          <w:vertAlign w:val="superscript"/>
        </w:rPr>
        <w:t>th</w:t>
      </w:r>
      <w:r>
        <w:rPr>
          <w:b/>
        </w:rPr>
        <w:t xml:space="preserve"> December at 10:00 am – 12:00 pm</w:t>
      </w:r>
    </w:p>
    <w:p w14:paraId="3955F6E1" w14:textId="77777777" w:rsidR="00B551F3" w:rsidRDefault="00B551F3" w:rsidP="00B551F3">
      <w:pPr>
        <w:jc w:val="center"/>
        <w:rPr>
          <w:b/>
        </w:rPr>
      </w:pPr>
      <w:r w:rsidRPr="006F0E13">
        <w:rPr>
          <w:b/>
        </w:rPr>
        <w:t>Virtual Online Meeti</w:t>
      </w:r>
      <w:r>
        <w:rPr>
          <w:b/>
        </w:rPr>
        <w:t xml:space="preserve">ng </w:t>
      </w:r>
    </w:p>
    <w:p w14:paraId="31ECEB3C" w14:textId="77777777" w:rsidR="00B551F3" w:rsidRPr="0064473B" w:rsidRDefault="00B551F3" w:rsidP="00B551F3">
      <w:pPr>
        <w:jc w:val="center"/>
        <w:rPr>
          <w:b/>
        </w:rPr>
      </w:pPr>
    </w:p>
    <w:p w14:paraId="690919F0" w14:textId="77777777" w:rsidR="00B551F3" w:rsidRDefault="00B551F3" w:rsidP="00B551F3">
      <w:pPr>
        <w:rPr>
          <w:u w:val="single"/>
        </w:rPr>
      </w:pPr>
    </w:p>
    <w:p w14:paraId="1D34EE6C" w14:textId="7DB8AACB" w:rsidR="00B551F3" w:rsidRDefault="00B551F3" w:rsidP="00B551F3">
      <w:r>
        <w:t>Claire E. Ball-Smith; Sean Cavan; Caroline Daly; Max Fincher; Spencer Hennessey; David Littlefair; Vini Lander; Rachel Lofthouse; Kevin Mattinson (Chair); Jackie Moses; Lisa Murtagh; James Noble-Rogers; Tanya Ovenden-Hope; Cat Scutt; Paul Vare; Jenny Wynn.</w:t>
      </w:r>
    </w:p>
    <w:p w14:paraId="12AB5DBC" w14:textId="77777777" w:rsidR="00B551F3" w:rsidRDefault="00B551F3" w:rsidP="00B551F3"/>
    <w:p w14:paraId="5337A720" w14:textId="77777777" w:rsidR="00B551F3" w:rsidRDefault="00B551F3" w:rsidP="00B551F3">
      <w:pPr>
        <w:tabs>
          <w:tab w:val="left" w:pos="2550"/>
        </w:tabs>
        <w:rPr>
          <w:u w:val="single"/>
        </w:rPr>
      </w:pPr>
      <w:r>
        <w:rPr>
          <w:u w:val="single"/>
        </w:rPr>
        <w:t>Apologies:</w:t>
      </w:r>
    </w:p>
    <w:p w14:paraId="19134873" w14:textId="77777777" w:rsidR="00B551F3" w:rsidRPr="001A446F" w:rsidRDefault="00B551F3" w:rsidP="00B551F3">
      <w:pPr>
        <w:rPr>
          <w:u w:val="single"/>
        </w:rPr>
      </w:pPr>
    </w:p>
    <w:p w14:paraId="13CF24BE" w14:textId="71F43D51" w:rsidR="00B551F3" w:rsidRDefault="00B551F3" w:rsidP="00B551F3">
      <w:r>
        <w:t>Jan Ashbridge;</w:t>
      </w:r>
      <w:r w:rsidRPr="00B551F3">
        <w:t xml:space="preserve"> </w:t>
      </w:r>
      <w:r>
        <w:t xml:space="preserve">Pat Black; Clare Brooks; Hazel Bryan; Jake Capper; Emma Hollis; Margaret Mulholland; James Nelson; Lynn Senior; Stefanie Sullivan; Roger Woods. </w:t>
      </w:r>
    </w:p>
    <w:p w14:paraId="0CC15303" w14:textId="77777777" w:rsidR="00B551F3" w:rsidRDefault="00B551F3" w:rsidP="00B551F3"/>
    <w:p w14:paraId="6F9A403A" w14:textId="77777777" w:rsidR="00B551F3" w:rsidRPr="0085081E" w:rsidRDefault="00B551F3" w:rsidP="00B551F3"/>
    <w:p w14:paraId="0B9EDC5F" w14:textId="77777777" w:rsidR="00B551F3" w:rsidRDefault="00B551F3" w:rsidP="00B551F3">
      <w:pPr>
        <w:pStyle w:val="ListParagraph"/>
        <w:numPr>
          <w:ilvl w:val="0"/>
          <w:numId w:val="1"/>
        </w:numPr>
        <w:rPr>
          <w:rFonts w:ascii="Arial" w:hAnsi="Arial"/>
        </w:rPr>
      </w:pPr>
      <w:r w:rsidRPr="0085081E">
        <w:rPr>
          <w:rFonts w:ascii="Arial" w:hAnsi="Arial"/>
        </w:rPr>
        <w:t>Welcome and Introductions</w:t>
      </w:r>
    </w:p>
    <w:p w14:paraId="6878E02E" w14:textId="77777777" w:rsidR="00B551F3" w:rsidRPr="00D90AA3" w:rsidRDefault="00B551F3" w:rsidP="00B551F3">
      <w:pPr>
        <w:pStyle w:val="ListParagraph"/>
        <w:numPr>
          <w:ilvl w:val="0"/>
          <w:numId w:val="2"/>
        </w:numPr>
        <w:rPr>
          <w:rFonts w:ascii="Arial" w:hAnsi="Arial"/>
        </w:rPr>
      </w:pPr>
      <w:r w:rsidRPr="00D90AA3">
        <w:rPr>
          <w:rFonts w:ascii="Arial" w:hAnsi="Arial"/>
        </w:rPr>
        <w:t>Noted.</w:t>
      </w:r>
    </w:p>
    <w:p w14:paraId="003D4358" w14:textId="77777777" w:rsidR="00B551F3" w:rsidRDefault="00B551F3" w:rsidP="00B551F3">
      <w:pPr>
        <w:pStyle w:val="ListParagraph"/>
        <w:numPr>
          <w:ilvl w:val="0"/>
          <w:numId w:val="1"/>
        </w:numPr>
        <w:rPr>
          <w:rFonts w:ascii="Arial" w:hAnsi="Arial"/>
        </w:rPr>
      </w:pPr>
      <w:r w:rsidRPr="0085081E">
        <w:rPr>
          <w:rFonts w:ascii="Arial" w:hAnsi="Arial"/>
        </w:rPr>
        <w:t>Declarations of Interest</w:t>
      </w:r>
    </w:p>
    <w:p w14:paraId="494D3965" w14:textId="77777777" w:rsidR="00B551F3" w:rsidRPr="00D90AA3" w:rsidRDefault="00B551F3" w:rsidP="00B551F3">
      <w:pPr>
        <w:pStyle w:val="ListParagraph"/>
        <w:numPr>
          <w:ilvl w:val="0"/>
          <w:numId w:val="2"/>
        </w:numPr>
        <w:rPr>
          <w:rFonts w:ascii="Arial" w:hAnsi="Arial"/>
        </w:rPr>
      </w:pPr>
      <w:r w:rsidRPr="00D90AA3">
        <w:rPr>
          <w:rFonts w:ascii="Arial" w:hAnsi="Arial"/>
        </w:rPr>
        <w:t>None.</w:t>
      </w:r>
    </w:p>
    <w:p w14:paraId="329FBAE6" w14:textId="77777777" w:rsidR="00B551F3" w:rsidRDefault="00B551F3" w:rsidP="00B551F3">
      <w:pPr>
        <w:pStyle w:val="ListParagraph"/>
        <w:numPr>
          <w:ilvl w:val="0"/>
          <w:numId w:val="1"/>
        </w:numPr>
        <w:rPr>
          <w:rFonts w:ascii="Arial" w:hAnsi="Arial"/>
        </w:rPr>
      </w:pPr>
      <w:r w:rsidRPr="47D8F6FF">
        <w:rPr>
          <w:rFonts w:ascii="Arial" w:hAnsi="Arial"/>
        </w:rPr>
        <w:t>Minute</w:t>
      </w:r>
      <w:r w:rsidRPr="00C83984">
        <w:rPr>
          <w:rFonts w:ascii="Arial" w:hAnsi="Arial"/>
        </w:rPr>
        <w:t>s and Matters</w:t>
      </w:r>
      <w:r w:rsidRPr="47D8F6FF">
        <w:rPr>
          <w:rFonts w:ascii="Arial" w:hAnsi="Arial"/>
        </w:rPr>
        <w:t xml:space="preserve"> Arising</w:t>
      </w:r>
    </w:p>
    <w:p w14:paraId="34D1DE4D" w14:textId="77777777" w:rsidR="00B551F3" w:rsidRDefault="00B551F3" w:rsidP="00B551F3">
      <w:pPr>
        <w:pStyle w:val="ListParagraph"/>
        <w:numPr>
          <w:ilvl w:val="0"/>
          <w:numId w:val="2"/>
        </w:numPr>
        <w:rPr>
          <w:rFonts w:ascii="Arial" w:hAnsi="Arial"/>
        </w:rPr>
      </w:pPr>
      <w:r>
        <w:rPr>
          <w:rFonts w:ascii="Arial" w:hAnsi="Arial"/>
        </w:rPr>
        <w:t>The minutes of the last meeting were approved.</w:t>
      </w:r>
    </w:p>
    <w:p w14:paraId="10003E6D" w14:textId="29BC5876" w:rsidR="00B551F3" w:rsidRDefault="00B551F3" w:rsidP="00B551F3">
      <w:pPr>
        <w:pStyle w:val="ListParagraph"/>
        <w:numPr>
          <w:ilvl w:val="0"/>
          <w:numId w:val="2"/>
        </w:numPr>
        <w:rPr>
          <w:rFonts w:ascii="Arial" w:hAnsi="Arial"/>
        </w:rPr>
      </w:pPr>
      <w:r>
        <w:rPr>
          <w:rFonts w:ascii="Arial" w:hAnsi="Arial"/>
        </w:rPr>
        <w:t xml:space="preserve">JNR/SS/LM/RW and KM </w:t>
      </w:r>
      <w:r w:rsidR="00651E21">
        <w:rPr>
          <w:rFonts w:ascii="Arial" w:hAnsi="Arial"/>
        </w:rPr>
        <w:t xml:space="preserve">will be </w:t>
      </w:r>
      <w:r>
        <w:rPr>
          <w:rFonts w:ascii="Arial" w:hAnsi="Arial"/>
        </w:rPr>
        <w:t xml:space="preserve">meeting </w:t>
      </w:r>
      <w:r w:rsidR="00651E21">
        <w:rPr>
          <w:rFonts w:ascii="Arial" w:hAnsi="Arial"/>
        </w:rPr>
        <w:t xml:space="preserve">the following day </w:t>
      </w:r>
      <w:r>
        <w:rPr>
          <w:rFonts w:ascii="Arial" w:hAnsi="Arial"/>
        </w:rPr>
        <w:t>to discuss the UCET strategy and organizational structure in the light of the ITE Market Review.</w:t>
      </w:r>
    </w:p>
    <w:p w14:paraId="4249FDC4" w14:textId="136D6A9E" w:rsidR="00B551F3" w:rsidRDefault="00B551F3" w:rsidP="00B551F3">
      <w:pPr>
        <w:pStyle w:val="ListParagraph"/>
        <w:numPr>
          <w:ilvl w:val="0"/>
          <w:numId w:val="2"/>
        </w:numPr>
        <w:rPr>
          <w:rFonts w:ascii="Arial" w:hAnsi="Arial"/>
        </w:rPr>
      </w:pPr>
      <w:r>
        <w:rPr>
          <w:rFonts w:ascii="Arial" w:hAnsi="Arial"/>
        </w:rPr>
        <w:t>The EC thanked JM for her work on the new UCET DBS paper, and a</w:t>
      </w:r>
      <w:r w:rsidR="009326EF">
        <w:rPr>
          <w:rFonts w:ascii="Arial" w:hAnsi="Arial"/>
        </w:rPr>
        <w:t xml:space="preserve">greed that </w:t>
      </w:r>
      <w:r>
        <w:rPr>
          <w:rFonts w:ascii="Arial" w:hAnsi="Arial"/>
        </w:rPr>
        <w:t xml:space="preserve"> the paper</w:t>
      </w:r>
      <w:r w:rsidR="009326EF">
        <w:rPr>
          <w:rFonts w:ascii="Arial" w:hAnsi="Arial"/>
        </w:rPr>
        <w:t xml:space="preserve"> should be sent to DfE and NASBTT for clearance</w:t>
      </w:r>
      <w:r>
        <w:rPr>
          <w:rFonts w:ascii="Arial" w:hAnsi="Arial"/>
        </w:rPr>
        <w:t>.</w:t>
      </w:r>
    </w:p>
    <w:p w14:paraId="1F07C478" w14:textId="6F12C3F3" w:rsidR="00B551F3" w:rsidRDefault="00B551F3" w:rsidP="00B551F3">
      <w:pPr>
        <w:pStyle w:val="ListParagraph"/>
        <w:numPr>
          <w:ilvl w:val="0"/>
          <w:numId w:val="2"/>
        </w:numPr>
        <w:rPr>
          <w:rFonts w:ascii="Arial" w:hAnsi="Arial"/>
        </w:rPr>
      </w:pPr>
      <w:r>
        <w:rPr>
          <w:rFonts w:ascii="Arial" w:hAnsi="Arial"/>
        </w:rPr>
        <w:t xml:space="preserve">It was agreed that it was safer to assume that the ‘disqualification by association’ rule applies to ITE Secondary as well as Primary. </w:t>
      </w:r>
    </w:p>
    <w:p w14:paraId="3DF42F46" w14:textId="0EFB1B79" w:rsidR="00B551F3" w:rsidRPr="00B551F3" w:rsidRDefault="00B551F3" w:rsidP="00B551F3">
      <w:pPr>
        <w:pStyle w:val="ListParagraph"/>
        <w:numPr>
          <w:ilvl w:val="0"/>
          <w:numId w:val="1"/>
        </w:numPr>
      </w:pPr>
      <w:r>
        <w:rPr>
          <w:rFonts w:ascii="Arial" w:hAnsi="Arial"/>
          <w:sz w:val="24"/>
          <w:szCs w:val="24"/>
        </w:rPr>
        <w:t>Equalities issues &amp; report from the Equalities sub-group</w:t>
      </w:r>
    </w:p>
    <w:p w14:paraId="1A8B5B1E" w14:textId="1F4C794B" w:rsidR="00B551F3" w:rsidRDefault="006F042C" w:rsidP="006F042C">
      <w:pPr>
        <w:pStyle w:val="ListParagraph"/>
        <w:numPr>
          <w:ilvl w:val="0"/>
          <w:numId w:val="3"/>
        </w:numPr>
        <w:tabs>
          <w:tab w:val="left" w:pos="3140"/>
        </w:tabs>
        <w:rPr>
          <w:rFonts w:ascii="Arial" w:hAnsi="Arial"/>
        </w:rPr>
      </w:pPr>
      <w:r>
        <w:rPr>
          <w:rFonts w:ascii="Arial" w:hAnsi="Arial"/>
        </w:rPr>
        <w:t>VL gave the background to the establishment of the equalities sub-group and the spectrum of the work and projects currently in progress. These include:</w:t>
      </w:r>
    </w:p>
    <w:p w14:paraId="53D5F5AE" w14:textId="2C0188EE" w:rsidR="006F042C" w:rsidRDefault="006F042C" w:rsidP="006F042C">
      <w:pPr>
        <w:pStyle w:val="ListParagraph"/>
        <w:numPr>
          <w:ilvl w:val="1"/>
          <w:numId w:val="3"/>
        </w:numPr>
        <w:tabs>
          <w:tab w:val="left" w:pos="3140"/>
        </w:tabs>
        <w:rPr>
          <w:rFonts w:ascii="Arial" w:hAnsi="Arial"/>
        </w:rPr>
      </w:pPr>
      <w:r>
        <w:rPr>
          <w:rFonts w:ascii="Arial" w:hAnsi="Arial"/>
        </w:rPr>
        <w:t>The anti-racism framework</w:t>
      </w:r>
      <w:r w:rsidR="000F440B">
        <w:rPr>
          <w:rFonts w:ascii="Arial" w:hAnsi="Arial"/>
        </w:rPr>
        <w:t>;</w:t>
      </w:r>
    </w:p>
    <w:p w14:paraId="2D369BB6" w14:textId="51EEDF1D" w:rsidR="006F042C" w:rsidRDefault="006F042C" w:rsidP="006F042C">
      <w:pPr>
        <w:pStyle w:val="ListParagraph"/>
        <w:numPr>
          <w:ilvl w:val="1"/>
          <w:numId w:val="3"/>
        </w:numPr>
        <w:tabs>
          <w:tab w:val="left" w:pos="3140"/>
        </w:tabs>
        <w:rPr>
          <w:rFonts w:ascii="Arial" w:hAnsi="Arial"/>
        </w:rPr>
      </w:pPr>
      <w:r>
        <w:rPr>
          <w:rFonts w:ascii="Arial" w:hAnsi="Arial"/>
        </w:rPr>
        <w:t>The student census project</w:t>
      </w:r>
      <w:r w:rsidR="000F440B">
        <w:rPr>
          <w:rFonts w:ascii="Arial" w:hAnsi="Arial"/>
        </w:rPr>
        <w:t>;</w:t>
      </w:r>
    </w:p>
    <w:p w14:paraId="3111BFF7" w14:textId="53F22E68" w:rsidR="006F042C" w:rsidRDefault="006F042C" w:rsidP="006F042C">
      <w:pPr>
        <w:pStyle w:val="ListParagraph"/>
        <w:numPr>
          <w:ilvl w:val="1"/>
          <w:numId w:val="3"/>
        </w:numPr>
        <w:tabs>
          <w:tab w:val="left" w:pos="3140"/>
        </w:tabs>
        <w:rPr>
          <w:rFonts w:ascii="Arial" w:hAnsi="Arial"/>
        </w:rPr>
      </w:pPr>
      <w:r>
        <w:rPr>
          <w:rFonts w:ascii="Arial" w:hAnsi="Arial"/>
        </w:rPr>
        <w:t>Open</w:t>
      </w:r>
      <w:r w:rsidR="000F440B">
        <w:rPr>
          <w:rFonts w:ascii="Arial" w:hAnsi="Arial"/>
        </w:rPr>
        <w:t xml:space="preserve"> University, Open</w:t>
      </w:r>
      <w:r>
        <w:rPr>
          <w:rFonts w:ascii="Arial" w:hAnsi="Arial"/>
        </w:rPr>
        <w:t xml:space="preserve"> Learn Create short course for excluded groups</w:t>
      </w:r>
      <w:r w:rsidR="000F440B">
        <w:rPr>
          <w:rFonts w:ascii="Arial" w:hAnsi="Arial"/>
        </w:rPr>
        <w:t>;</w:t>
      </w:r>
    </w:p>
    <w:p w14:paraId="710667F2" w14:textId="0CEB2194" w:rsidR="006F042C" w:rsidRDefault="006F042C" w:rsidP="006F042C">
      <w:pPr>
        <w:pStyle w:val="ListParagraph"/>
        <w:numPr>
          <w:ilvl w:val="1"/>
          <w:numId w:val="3"/>
        </w:numPr>
        <w:tabs>
          <w:tab w:val="left" w:pos="3140"/>
        </w:tabs>
        <w:rPr>
          <w:rFonts w:ascii="Arial" w:hAnsi="Arial"/>
        </w:rPr>
      </w:pPr>
      <w:r>
        <w:rPr>
          <w:rFonts w:ascii="Arial" w:hAnsi="Arial"/>
        </w:rPr>
        <w:t>The universities of Sanctuaries ITE course on equality</w:t>
      </w:r>
      <w:r w:rsidR="000F440B">
        <w:rPr>
          <w:rFonts w:ascii="Arial" w:hAnsi="Arial"/>
        </w:rPr>
        <w:t>.</w:t>
      </w:r>
      <w:r>
        <w:rPr>
          <w:rFonts w:ascii="Arial" w:hAnsi="Arial"/>
        </w:rPr>
        <w:t xml:space="preserve"> </w:t>
      </w:r>
    </w:p>
    <w:p w14:paraId="32EC0358" w14:textId="411F4E55" w:rsidR="006F042C" w:rsidRDefault="006F042C" w:rsidP="006F042C">
      <w:pPr>
        <w:pStyle w:val="ListParagraph"/>
        <w:numPr>
          <w:ilvl w:val="0"/>
          <w:numId w:val="3"/>
        </w:numPr>
        <w:tabs>
          <w:tab w:val="left" w:pos="3140"/>
        </w:tabs>
        <w:rPr>
          <w:rFonts w:ascii="Arial" w:hAnsi="Arial"/>
        </w:rPr>
      </w:pPr>
      <w:r>
        <w:rPr>
          <w:rFonts w:ascii="Arial" w:hAnsi="Arial"/>
        </w:rPr>
        <w:t xml:space="preserve">The overall aim of the group is to identity and monitor issues of equality (whether race/sexuality/class/gender/trans etc.), to highlight good practice in ITE, and to effect institutional and organizational/structural change through learning and pedagogy. </w:t>
      </w:r>
    </w:p>
    <w:p w14:paraId="690CDB42" w14:textId="79D8DB93" w:rsidR="006F042C" w:rsidRDefault="006F042C" w:rsidP="005E6A39">
      <w:pPr>
        <w:pStyle w:val="ListParagraph"/>
        <w:numPr>
          <w:ilvl w:val="0"/>
          <w:numId w:val="3"/>
        </w:numPr>
        <w:tabs>
          <w:tab w:val="left" w:pos="3140"/>
        </w:tabs>
        <w:rPr>
          <w:rFonts w:ascii="Arial" w:hAnsi="Arial"/>
        </w:rPr>
      </w:pPr>
      <w:r>
        <w:rPr>
          <w:rFonts w:ascii="Arial" w:hAnsi="Arial"/>
        </w:rPr>
        <w:lastRenderedPageBreak/>
        <w:t>There will be a conference on the 29</w:t>
      </w:r>
      <w:r w:rsidRPr="006F042C">
        <w:rPr>
          <w:rFonts w:ascii="Arial" w:hAnsi="Arial"/>
          <w:vertAlign w:val="superscript"/>
        </w:rPr>
        <w:t>th</w:t>
      </w:r>
      <w:r>
        <w:rPr>
          <w:rFonts w:ascii="Arial" w:hAnsi="Arial"/>
        </w:rPr>
        <w:t xml:space="preserve"> March at Leeds Beckett University on the anti-racist framework, which will share good practice.</w:t>
      </w:r>
    </w:p>
    <w:p w14:paraId="0F6C9EDA" w14:textId="4820C85C" w:rsidR="006F042C" w:rsidRDefault="006F042C" w:rsidP="005E6A39">
      <w:pPr>
        <w:pStyle w:val="ListParagraph"/>
        <w:numPr>
          <w:ilvl w:val="0"/>
          <w:numId w:val="3"/>
        </w:numPr>
        <w:tabs>
          <w:tab w:val="left" w:pos="3140"/>
        </w:tabs>
        <w:rPr>
          <w:rFonts w:ascii="Arial" w:hAnsi="Arial"/>
        </w:rPr>
      </w:pPr>
      <w:r>
        <w:rPr>
          <w:rFonts w:ascii="Arial" w:hAnsi="Arial"/>
        </w:rPr>
        <w:t xml:space="preserve">The anti-racist ITE/T framework is on the UCET website (see under </w:t>
      </w:r>
      <w:hyperlink r:id="rId10" w:history="1">
        <w:r w:rsidRPr="0071417A">
          <w:rPr>
            <w:rStyle w:val="Hyperlink"/>
            <w:rFonts w:ascii="Arial" w:hAnsi="Arial"/>
          </w:rPr>
          <w:t>‘Guidance’</w:t>
        </w:r>
      </w:hyperlink>
      <w:r>
        <w:rPr>
          <w:rFonts w:ascii="Arial" w:hAnsi="Arial"/>
        </w:rPr>
        <w:t>) and can also be accessed via Newcastle University</w:t>
      </w:r>
      <w:r w:rsidR="00B005AD">
        <w:rPr>
          <w:rFonts w:ascii="Arial" w:hAnsi="Arial"/>
        </w:rPr>
        <w:t>’s</w:t>
      </w:r>
      <w:r>
        <w:rPr>
          <w:rFonts w:ascii="Arial" w:hAnsi="Arial"/>
        </w:rPr>
        <w:t xml:space="preserve"> website </w:t>
      </w:r>
      <w:hyperlink r:id="rId11" w:history="1">
        <w:r w:rsidRPr="00B005AD">
          <w:rPr>
            <w:rStyle w:val="Hyperlink"/>
            <w:rFonts w:ascii="Arial" w:hAnsi="Arial"/>
          </w:rPr>
          <w:t>here</w:t>
        </w:r>
      </w:hyperlink>
      <w:r>
        <w:rPr>
          <w:rFonts w:ascii="Arial" w:hAnsi="Arial"/>
        </w:rPr>
        <w:t xml:space="preserve">. </w:t>
      </w:r>
    </w:p>
    <w:p w14:paraId="3DF03B46" w14:textId="67DE0A20" w:rsidR="006F042C" w:rsidRDefault="005D4B92" w:rsidP="005E6A39">
      <w:pPr>
        <w:pStyle w:val="ListParagraph"/>
        <w:numPr>
          <w:ilvl w:val="0"/>
          <w:numId w:val="3"/>
        </w:numPr>
        <w:tabs>
          <w:tab w:val="left" w:pos="3140"/>
        </w:tabs>
        <w:rPr>
          <w:rFonts w:ascii="Arial" w:hAnsi="Arial"/>
        </w:rPr>
      </w:pPr>
      <w:r>
        <w:rPr>
          <w:rFonts w:ascii="Arial" w:hAnsi="Arial"/>
        </w:rPr>
        <w:t>VL thanked JNR, JM and MF for supporting the work of the equalities group as well as those colleagues who are engaging in extra work outside of their day job.</w:t>
      </w:r>
    </w:p>
    <w:p w14:paraId="4C37503B" w14:textId="08256C91" w:rsidR="005D4B92" w:rsidRPr="005E6A39" w:rsidRDefault="005D4B92" w:rsidP="005E6A39">
      <w:pPr>
        <w:pStyle w:val="ListParagraph"/>
        <w:numPr>
          <w:ilvl w:val="0"/>
          <w:numId w:val="3"/>
        </w:numPr>
        <w:tabs>
          <w:tab w:val="left" w:pos="3140"/>
        </w:tabs>
        <w:rPr>
          <w:rFonts w:ascii="Arial" w:hAnsi="Arial"/>
          <w:b/>
          <w:bCs/>
        </w:rPr>
      </w:pPr>
      <w:r w:rsidRPr="005E6A39">
        <w:rPr>
          <w:rFonts w:ascii="Arial" w:hAnsi="Arial"/>
          <w:b/>
          <w:bCs/>
        </w:rPr>
        <w:t>UCET to organize a Zoom event for the whole of the membership to raise the profile of the work of the EQ group.</w:t>
      </w:r>
    </w:p>
    <w:p w14:paraId="5C585F7D" w14:textId="1AB9EE8F" w:rsidR="005D4B92" w:rsidRPr="005E6A39" w:rsidRDefault="005D4B92" w:rsidP="005E6A39">
      <w:pPr>
        <w:pStyle w:val="ListParagraph"/>
        <w:numPr>
          <w:ilvl w:val="0"/>
          <w:numId w:val="3"/>
        </w:numPr>
        <w:tabs>
          <w:tab w:val="left" w:pos="3140"/>
        </w:tabs>
        <w:rPr>
          <w:rFonts w:ascii="Arial" w:hAnsi="Arial"/>
          <w:b/>
          <w:bCs/>
        </w:rPr>
      </w:pPr>
      <w:r w:rsidRPr="005E6A39">
        <w:rPr>
          <w:rFonts w:ascii="Arial" w:hAnsi="Arial"/>
          <w:b/>
          <w:bCs/>
        </w:rPr>
        <w:t xml:space="preserve">PV and JNR to raise the issues of the equalities group at the next DfE review meeting of the ECF/CCF. VL to send JNR some text. </w:t>
      </w:r>
    </w:p>
    <w:p w14:paraId="6A0193FA" w14:textId="038A009A" w:rsidR="005D4B92" w:rsidRDefault="005D4B92" w:rsidP="005E6A39">
      <w:pPr>
        <w:pStyle w:val="ListParagraph"/>
        <w:numPr>
          <w:ilvl w:val="0"/>
          <w:numId w:val="3"/>
        </w:numPr>
        <w:tabs>
          <w:tab w:val="left" w:pos="3140"/>
        </w:tabs>
        <w:rPr>
          <w:rFonts w:ascii="Arial" w:hAnsi="Arial"/>
        </w:rPr>
      </w:pPr>
      <w:r>
        <w:rPr>
          <w:rFonts w:ascii="Arial" w:hAnsi="Arial"/>
        </w:rPr>
        <w:t xml:space="preserve">It was noted that the framework is an organic document that can also be applied to other equalities’ vectors (class/sexuality/gender etc.) and to non-ITE disciplines, e.g. nursing and social care. The framework is a good example of </w:t>
      </w:r>
      <w:r w:rsidR="00D14D77">
        <w:rPr>
          <w:rFonts w:ascii="Arial" w:hAnsi="Arial"/>
        </w:rPr>
        <w:t xml:space="preserve">actively </w:t>
      </w:r>
      <w:r>
        <w:rPr>
          <w:rFonts w:ascii="Arial" w:hAnsi="Arial"/>
        </w:rPr>
        <w:t xml:space="preserve">taking </w:t>
      </w:r>
      <w:r w:rsidR="004B1E8D">
        <w:rPr>
          <w:rFonts w:ascii="Arial" w:hAnsi="Arial"/>
        </w:rPr>
        <w:t>ownership</w:t>
      </w:r>
      <w:r>
        <w:rPr>
          <w:rFonts w:ascii="Arial" w:hAnsi="Arial"/>
        </w:rPr>
        <w:t xml:space="preserve"> of ITE rather than having it dictated to universities</w:t>
      </w:r>
      <w:r w:rsidR="00D012ED">
        <w:rPr>
          <w:rFonts w:ascii="Arial" w:hAnsi="Arial"/>
        </w:rPr>
        <w:t xml:space="preserve"> by central Government. </w:t>
      </w:r>
    </w:p>
    <w:p w14:paraId="0C38C951" w14:textId="5F4864E4" w:rsidR="005D4B92" w:rsidRDefault="005D4B92" w:rsidP="005E6A39">
      <w:pPr>
        <w:pStyle w:val="ListParagraph"/>
        <w:numPr>
          <w:ilvl w:val="0"/>
          <w:numId w:val="3"/>
        </w:numPr>
        <w:tabs>
          <w:tab w:val="left" w:pos="3140"/>
        </w:tabs>
        <w:rPr>
          <w:rFonts w:ascii="Arial" w:hAnsi="Arial"/>
        </w:rPr>
      </w:pPr>
      <w:r>
        <w:rPr>
          <w:rFonts w:ascii="Arial" w:hAnsi="Arial"/>
        </w:rPr>
        <w:t>It was also noted that it is important to challenge the kind of promotional material that is used by institutions</w:t>
      </w:r>
      <w:r w:rsidR="00D012ED">
        <w:rPr>
          <w:rFonts w:ascii="Arial" w:hAnsi="Arial"/>
        </w:rPr>
        <w:t xml:space="preserve"> around equality and diversity</w:t>
      </w:r>
      <w:r>
        <w:rPr>
          <w:rFonts w:ascii="Arial" w:hAnsi="Arial"/>
        </w:rPr>
        <w:t xml:space="preserve">, which does not in fact reflect the actual cohort of trainees or the professional </w:t>
      </w:r>
      <w:r w:rsidR="004C6A72">
        <w:rPr>
          <w:rFonts w:ascii="Arial" w:hAnsi="Arial"/>
        </w:rPr>
        <w:t xml:space="preserve">TE </w:t>
      </w:r>
      <w:r>
        <w:rPr>
          <w:rFonts w:ascii="Arial" w:hAnsi="Arial"/>
        </w:rPr>
        <w:t>community more generally.</w:t>
      </w:r>
    </w:p>
    <w:p w14:paraId="63593594" w14:textId="2026D709" w:rsidR="00E8058D" w:rsidRPr="00646AA9" w:rsidRDefault="005D4B92" w:rsidP="005E6A39">
      <w:pPr>
        <w:pStyle w:val="ListParagraph"/>
        <w:numPr>
          <w:ilvl w:val="0"/>
          <w:numId w:val="3"/>
        </w:numPr>
        <w:tabs>
          <w:tab w:val="left" w:pos="3140"/>
        </w:tabs>
        <w:rPr>
          <w:rFonts w:ascii="Arial" w:hAnsi="Arial"/>
        </w:rPr>
      </w:pPr>
      <w:r>
        <w:rPr>
          <w:rFonts w:ascii="Arial" w:hAnsi="Arial"/>
        </w:rPr>
        <w:t>An example was given of how international practice and collaboration with others from overseas, can help to give a different perspective</w:t>
      </w:r>
      <w:r w:rsidR="00E8058D">
        <w:rPr>
          <w:rFonts w:ascii="Arial" w:hAnsi="Arial"/>
        </w:rPr>
        <w:t xml:space="preserve"> on how to make ITE more diverse. </w:t>
      </w:r>
    </w:p>
    <w:p w14:paraId="6F333B14" w14:textId="2FA4352C" w:rsidR="00B551F3" w:rsidRDefault="00611139" w:rsidP="00B551F3">
      <w:pPr>
        <w:pStyle w:val="ListParagraph"/>
        <w:numPr>
          <w:ilvl w:val="0"/>
          <w:numId w:val="1"/>
        </w:numPr>
        <w:rPr>
          <w:rFonts w:ascii="Arial" w:hAnsi="Arial"/>
        </w:rPr>
      </w:pPr>
      <w:r>
        <w:rPr>
          <w:rFonts w:ascii="Arial" w:hAnsi="Arial"/>
        </w:rPr>
        <w:t xml:space="preserve">ITE Market Review </w:t>
      </w:r>
    </w:p>
    <w:p w14:paraId="4E8799E7" w14:textId="08B6D976" w:rsidR="00A7788E" w:rsidRDefault="00B551F3" w:rsidP="00A7788E">
      <w:pPr>
        <w:pStyle w:val="ListParagraph"/>
        <w:numPr>
          <w:ilvl w:val="0"/>
          <w:numId w:val="5"/>
        </w:numPr>
        <w:rPr>
          <w:rFonts w:ascii="Arial" w:hAnsi="Arial"/>
        </w:rPr>
      </w:pPr>
      <w:r>
        <w:rPr>
          <w:rFonts w:ascii="Arial" w:hAnsi="Arial"/>
        </w:rPr>
        <w:t xml:space="preserve">JNR </w:t>
      </w:r>
      <w:r w:rsidR="00A7788E">
        <w:rPr>
          <w:rFonts w:ascii="Arial" w:hAnsi="Arial"/>
        </w:rPr>
        <w:t>noted that none of the appeals for Round 1</w:t>
      </w:r>
      <w:r w:rsidR="004C6A72">
        <w:rPr>
          <w:rFonts w:ascii="Arial" w:hAnsi="Arial"/>
        </w:rPr>
        <w:t>, Stage 2</w:t>
      </w:r>
      <w:r w:rsidR="00A7788E">
        <w:rPr>
          <w:rFonts w:ascii="Arial" w:hAnsi="Arial"/>
        </w:rPr>
        <w:t xml:space="preserve"> had been successful</w:t>
      </w:r>
      <w:r w:rsidR="004C6A72">
        <w:rPr>
          <w:rFonts w:ascii="Arial" w:hAnsi="Arial"/>
        </w:rPr>
        <w:t xml:space="preserve">, which was very disappointing. </w:t>
      </w:r>
    </w:p>
    <w:p w14:paraId="357A6F66" w14:textId="716F8DB1" w:rsidR="00A7788E" w:rsidRDefault="00A7788E" w:rsidP="00A7788E">
      <w:pPr>
        <w:pStyle w:val="ListParagraph"/>
        <w:numPr>
          <w:ilvl w:val="0"/>
          <w:numId w:val="5"/>
        </w:numPr>
        <w:rPr>
          <w:rFonts w:ascii="Arial" w:hAnsi="Arial"/>
        </w:rPr>
      </w:pPr>
      <w:r>
        <w:rPr>
          <w:rFonts w:ascii="Arial" w:hAnsi="Arial"/>
        </w:rPr>
        <w:t>There is at least one institution which is pursuing a judicial review.</w:t>
      </w:r>
    </w:p>
    <w:p w14:paraId="72F221EC" w14:textId="1200E46E" w:rsidR="00A7788E" w:rsidRDefault="00A7788E" w:rsidP="00A7788E">
      <w:pPr>
        <w:pStyle w:val="ListParagraph"/>
        <w:numPr>
          <w:ilvl w:val="0"/>
          <w:numId w:val="5"/>
        </w:numPr>
        <w:rPr>
          <w:rFonts w:ascii="Arial" w:hAnsi="Arial"/>
        </w:rPr>
      </w:pPr>
      <w:r>
        <w:rPr>
          <w:rFonts w:ascii="Arial" w:hAnsi="Arial"/>
        </w:rPr>
        <w:t>Non-accredited providers are meeting as a group</w:t>
      </w:r>
      <w:r w:rsidR="0042039F">
        <w:rPr>
          <w:rFonts w:ascii="Arial" w:hAnsi="Arial"/>
        </w:rPr>
        <w:t>.</w:t>
      </w:r>
    </w:p>
    <w:p w14:paraId="33C0CE71" w14:textId="5F7E1C77" w:rsidR="0042039F" w:rsidRDefault="0042039F" w:rsidP="00A7788E">
      <w:pPr>
        <w:pStyle w:val="ListParagraph"/>
        <w:numPr>
          <w:ilvl w:val="0"/>
          <w:numId w:val="5"/>
        </w:numPr>
        <w:rPr>
          <w:rFonts w:ascii="Arial" w:hAnsi="Arial"/>
        </w:rPr>
      </w:pPr>
      <w:r>
        <w:rPr>
          <w:rFonts w:ascii="Arial" w:hAnsi="Arial"/>
        </w:rPr>
        <w:t>JNR continues to raise the concern about the impact upon teacher supply with the DfE</w:t>
      </w:r>
      <w:r w:rsidR="00914D1F">
        <w:rPr>
          <w:rFonts w:ascii="Arial" w:hAnsi="Arial"/>
        </w:rPr>
        <w:t>.</w:t>
      </w:r>
    </w:p>
    <w:p w14:paraId="7E4077CA" w14:textId="21577312" w:rsidR="00914D1F" w:rsidRDefault="00914D1F" w:rsidP="00A7788E">
      <w:pPr>
        <w:pStyle w:val="ListParagraph"/>
        <w:numPr>
          <w:ilvl w:val="0"/>
          <w:numId w:val="5"/>
        </w:numPr>
        <w:rPr>
          <w:rFonts w:ascii="Arial" w:hAnsi="Arial"/>
        </w:rPr>
      </w:pPr>
      <w:r>
        <w:rPr>
          <w:rFonts w:ascii="Arial" w:hAnsi="Arial"/>
        </w:rPr>
        <w:t xml:space="preserve">The DfE Sufficiency group has now resumed and JNR has been invited back </w:t>
      </w:r>
      <w:r w:rsidR="00B7401D">
        <w:rPr>
          <w:rFonts w:ascii="Arial" w:hAnsi="Arial"/>
        </w:rPr>
        <w:t>as a member</w:t>
      </w:r>
      <w:r>
        <w:rPr>
          <w:rFonts w:ascii="Arial" w:hAnsi="Arial"/>
        </w:rPr>
        <w:t>.</w:t>
      </w:r>
    </w:p>
    <w:p w14:paraId="72FF613F" w14:textId="113418A5" w:rsidR="00914D1F" w:rsidRDefault="000B7EE4" w:rsidP="00A7788E">
      <w:pPr>
        <w:pStyle w:val="ListParagraph"/>
        <w:numPr>
          <w:ilvl w:val="0"/>
          <w:numId w:val="5"/>
        </w:numPr>
        <w:rPr>
          <w:rFonts w:ascii="Arial" w:hAnsi="Arial"/>
        </w:rPr>
      </w:pPr>
      <w:r>
        <w:rPr>
          <w:rFonts w:ascii="Arial" w:hAnsi="Arial"/>
        </w:rPr>
        <w:t>UCET is holding a meeting to discuss new partnership arrangements</w:t>
      </w:r>
      <w:r w:rsidR="004B7121">
        <w:rPr>
          <w:rFonts w:ascii="Arial" w:hAnsi="Arial"/>
        </w:rPr>
        <w:t xml:space="preserve"> after the DfE guidance on partnerships issued in December; it was noted that the DfE are trying to encourage </w:t>
      </w:r>
      <w:r w:rsidR="00B7401D">
        <w:rPr>
          <w:rFonts w:ascii="Arial" w:hAnsi="Arial"/>
        </w:rPr>
        <w:t xml:space="preserve">some </w:t>
      </w:r>
      <w:r w:rsidR="004B7121">
        <w:rPr>
          <w:rFonts w:ascii="Arial" w:hAnsi="Arial"/>
        </w:rPr>
        <w:t>successful providers to be ‘dormant’</w:t>
      </w:r>
      <w:r w:rsidR="001126B8">
        <w:rPr>
          <w:rFonts w:ascii="Arial" w:hAnsi="Arial"/>
        </w:rPr>
        <w:t>, and that the partnerships grants</w:t>
      </w:r>
      <w:r w:rsidR="004C6A72">
        <w:rPr>
          <w:rFonts w:ascii="Arial" w:hAnsi="Arial"/>
        </w:rPr>
        <w:t xml:space="preserve"> on offer</w:t>
      </w:r>
      <w:r w:rsidR="001126B8">
        <w:rPr>
          <w:rFonts w:ascii="Arial" w:hAnsi="Arial"/>
        </w:rPr>
        <w:t xml:space="preserve"> are </w:t>
      </w:r>
      <w:r w:rsidR="00C9403D">
        <w:rPr>
          <w:rFonts w:ascii="Arial" w:hAnsi="Arial"/>
        </w:rPr>
        <w:t xml:space="preserve">minimal. </w:t>
      </w:r>
    </w:p>
    <w:p w14:paraId="332C31E2" w14:textId="148589FE" w:rsidR="007B183D" w:rsidRDefault="007B183D" w:rsidP="00A7788E">
      <w:pPr>
        <w:pStyle w:val="ListParagraph"/>
        <w:numPr>
          <w:ilvl w:val="0"/>
          <w:numId w:val="5"/>
        </w:numPr>
        <w:rPr>
          <w:rFonts w:ascii="Arial" w:hAnsi="Arial"/>
        </w:rPr>
      </w:pPr>
      <w:r>
        <w:rPr>
          <w:rFonts w:ascii="Arial" w:hAnsi="Arial"/>
        </w:rPr>
        <w:t xml:space="preserve">It will be important to be vigilant about how the new DfE associates assigned to </w:t>
      </w:r>
      <w:r w:rsidR="003040FD">
        <w:rPr>
          <w:rFonts w:ascii="Arial" w:hAnsi="Arial"/>
        </w:rPr>
        <w:t>successful providers behave, in particular whether they are genuinely supportive or if they adopt an OfSTED</w:t>
      </w:r>
      <w:r w:rsidR="00C253CA">
        <w:rPr>
          <w:rFonts w:ascii="Arial" w:hAnsi="Arial"/>
        </w:rPr>
        <w:t xml:space="preserve">/compliance checking </w:t>
      </w:r>
      <w:r w:rsidR="003040FD">
        <w:rPr>
          <w:rFonts w:ascii="Arial" w:hAnsi="Arial"/>
        </w:rPr>
        <w:t>-style approach</w:t>
      </w:r>
      <w:r w:rsidR="00771A43">
        <w:rPr>
          <w:rFonts w:ascii="Arial" w:hAnsi="Arial"/>
        </w:rPr>
        <w:t xml:space="preserve"> to partnerships.</w:t>
      </w:r>
    </w:p>
    <w:p w14:paraId="46196606" w14:textId="0F568773" w:rsidR="00771A43" w:rsidRDefault="00771A43" w:rsidP="00A7788E">
      <w:pPr>
        <w:pStyle w:val="ListParagraph"/>
        <w:numPr>
          <w:ilvl w:val="0"/>
          <w:numId w:val="5"/>
        </w:numPr>
        <w:rPr>
          <w:rFonts w:ascii="Arial" w:hAnsi="Arial"/>
        </w:rPr>
      </w:pPr>
      <w:r>
        <w:rPr>
          <w:rFonts w:ascii="Arial" w:hAnsi="Arial"/>
        </w:rPr>
        <w:t xml:space="preserve">There was discussion about how </w:t>
      </w:r>
      <w:r w:rsidR="00124A8F">
        <w:rPr>
          <w:rFonts w:ascii="Arial" w:hAnsi="Arial"/>
        </w:rPr>
        <w:t xml:space="preserve">these partnership arrangements raise a whole host of complex issues and risks, including who is responsible for academic awards, </w:t>
      </w:r>
      <w:r w:rsidR="00556060">
        <w:rPr>
          <w:rFonts w:ascii="Arial" w:hAnsi="Arial"/>
        </w:rPr>
        <w:t xml:space="preserve">QA, liability, </w:t>
      </w:r>
      <w:r w:rsidR="004C6A72">
        <w:rPr>
          <w:rFonts w:ascii="Arial" w:hAnsi="Arial"/>
        </w:rPr>
        <w:t xml:space="preserve">especially </w:t>
      </w:r>
      <w:r w:rsidR="00556060">
        <w:rPr>
          <w:rFonts w:ascii="Arial" w:hAnsi="Arial"/>
        </w:rPr>
        <w:t xml:space="preserve">the financial </w:t>
      </w:r>
      <w:r w:rsidR="009B73F5">
        <w:rPr>
          <w:rFonts w:ascii="Arial" w:hAnsi="Arial"/>
        </w:rPr>
        <w:t>and capacity implications</w:t>
      </w:r>
      <w:r w:rsidR="00676EC6">
        <w:rPr>
          <w:rFonts w:ascii="Arial" w:hAnsi="Arial"/>
        </w:rPr>
        <w:t xml:space="preserve"> of</w:t>
      </w:r>
      <w:r w:rsidR="0095055D">
        <w:rPr>
          <w:rFonts w:ascii="Arial" w:hAnsi="Arial"/>
        </w:rPr>
        <w:t xml:space="preserve"> any such</w:t>
      </w:r>
      <w:r w:rsidR="00676EC6">
        <w:rPr>
          <w:rFonts w:ascii="Arial" w:hAnsi="Arial"/>
        </w:rPr>
        <w:t xml:space="preserve"> arrangements, and how long university internal approvals’ processes take</w:t>
      </w:r>
      <w:r w:rsidR="0095055D">
        <w:rPr>
          <w:rFonts w:ascii="Arial" w:hAnsi="Arial"/>
        </w:rPr>
        <w:t xml:space="preserve"> for such structures to be approved and put into practice.</w:t>
      </w:r>
    </w:p>
    <w:p w14:paraId="7E494218" w14:textId="42F0236D" w:rsidR="00C9403D" w:rsidRDefault="00C034A3" w:rsidP="00A7788E">
      <w:pPr>
        <w:pStyle w:val="ListParagraph"/>
        <w:numPr>
          <w:ilvl w:val="0"/>
          <w:numId w:val="5"/>
        </w:numPr>
        <w:rPr>
          <w:rFonts w:ascii="Arial" w:hAnsi="Arial"/>
        </w:rPr>
      </w:pPr>
      <w:r>
        <w:rPr>
          <w:rFonts w:ascii="Arial" w:hAnsi="Arial"/>
        </w:rPr>
        <w:t xml:space="preserve">The recent UCET survey on whether schools are aware of </w:t>
      </w:r>
      <w:r w:rsidR="003E7775">
        <w:rPr>
          <w:rFonts w:ascii="Arial" w:hAnsi="Arial"/>
        </w:rPr>
        <w:t>the im</w:t>
      </w:r>
      <w:r w:rsidR="004D1591">
        <w:rPr>
          <w:rFonts w:ascii="Arial" w:hAnsi="Arial"/>
        </w:rPr>
        <w:t>plications on placement mentoring capacity</w:t>
      </w:r>
      <w:r w:rsidR="00A95AA4">
        <w:rPr>
          <w:rFonts w:ascii="Arial" w:hAnsi="Arial"/>
        </w:rPr>
        <w:t xml:space="preserve"> under the new quality requirements, revealed that most partner schools are not aware of this; the question remains whether such schools will want to withdraw from </w:t>
      </w:r>
      <w:r w:rsidR="00615468">
        <w:rPr>
          <w:rFonts w:ascii="Arial" w:hAnsi="Arial"/>
        </w:rPr>
        <w:t xml:space="preserve">ITE altogether. JNR and KM </w:t>
      </w:r>
      <w:r w:rsidR="00EB75BA">
        <w:rPr>
          <w:rFonts w:ascii="Arial" w:hAnsi="Arial"/>
        </w:rPr>
        <w:t xml:space="preserve">keep </w:t>
      </w:r>
      <w:r w:rsidR="00615468">
        <w:rPr>
          <w:rFonts w:ascii="Arial" w:hAnsi="Arial"/>
        </w:rPr>
        <w:t>reinforcing this risk to DfE</w:t>
      </w:r>
      <w:r w:rsidR="00EB75BA">
        <w:rPr>
          <w:rFonts w:ascii="Arial" w:hAnsi="Arial"/>
        </w:rPr>
        <w:t xml:space="preserve">. </w:t>
      </w:r>
    </w:p>
    <w:p w14:paraId="40D7740E" w14:textId="46E5C632" w:rsidR="00EB75BA" w:rsidRDefault="00EB75BA" w:rsidP="00A7788E">
      <w:pPr>
        <w:pStyle w:val="ListParagraph"/>
        <w:numPr>
          <w:ilvl w:val="0"/>
          <w:numId w:val="5"/>
        </w:numPr>
        <w:rPr>
          <w:rFonts w:ascii="Arial" w:hAnsi="Arial"/>
        </w:rPr>
      </w:pPr>
      <w:r>
        <w:rPr>
          <w:rFonts w:ascii="Arial" w:hAnsi="Arial"/>
        </w:rPr>
        <w:t>There was discussion about how some head teachers are already not recruiting</w:t>
      </w:r>
      <w:r w:rsidR="002735CC">
        <w:rPr>
          <w:rFonts w:ascii="Arial" w:hAnsi="Arial"/>
        </w:rPr>
        <w:t xml:space="preserve"> new trainees because they cannot commit to the cost/capacity of </w:t>
      </w:r>
      <w:r w:rsidR="002735CC">
        <w:rPr>
          <w:rFonts w:ascii="Arial" w:hAnsi="Arial"/>
        </w:rPr>
        <w:lastRenderedPageBreak/>
        <w:t>implementing two years of the ECF</w:t>
      </w:r>
      <w:r w:rsidR="00EB3733">
        <w:rPr>
          <w:rFonts w:ascii="Arial" w:hAnsi="Arial"/>
        </w:rPr>
        <w:t xml:space="preserve"> and mentoring. It is also important to differentiate between the needs of Primary and Secondary mentoring.</w:t>
      </w:r>
    </w:p>
    <w:p w14:paraId="0116E382" w14:textId="00D650E3" w:rsidR="00EB3733" w:rsidRDefault="00EB3733" w:rsidP="00A7788E">
      <w:pPr>
        <w:pStyle w:val="ListParagraph"/>
        <w:numPr>
          <w:ilvl w:val="0"/>
          <w:numId w:val="5"/>
        </w:numPr>
        <w:rPr>
          <w:rFonts w:ascii="Arial" w:hAnsi="Arial"/>
        </w:rPr>
      </w:pPr>
      <w:r>
        <w:rPr>
          <w:rFonts w:ascii="Arial" w:hAnsi="Arial"/>
        </w:rPr>
        <w:t xml:space="preserve">It was agreed that </w:t>
      </w:r>
      <w:r w:rsidRPr="00DB0E5C">
        <w:rPr>
          <w:rFonts w:ascii="Arial" w:hAnsi="Arial"/>
          <w:b/>
          <w:bCs/>
        </w:rPr>
        <w:t>UCET would do a</w:t>
      </w:r>
      <w:r w:rsidR="00DB0E5C" w:rsidRPr="00DB0E5C">
        <w:rPr>
          <w:rFonts w:ascii="Arial" w:hAnsi="Arial"/>
          <w:b/>
          <w:bCs/>
        </w:rPr>
        <w:t xml:space="preserve"> survey to discover which placement schools are not taking on ECT for these reasons.</w:t>
      </w:r>
      <w:r w:rsidR="00DB0E5C">
        <w:rPr>
          <w:rFonts w:ascii="Arial" w:hAnsi="Arial"/>
        </w:rPr>
        <w:t xml:space="preserve"> </w:t>
      </w:r>
    </w:p>
    <w:p w14:paraId="291C7E40" w14:textId="37CE9CCF" w:rsidR="00463C0B" w:rsidRDefault="00986C59" w:rsidP="00A7788E">
      <w:pPr>
        <w:pStyle w:val="ListParagraph"/>
        <w:numPr>
          <w:ilvl w:val="0"/>
          <w:numId w:val="5"/>
        </w:numPr>
        <w:rPr>
          <w:rFonts w:ascii="Arial" w:hAnsi="Arial"/>
        </w:rPr>
      </w:pPr>
      <w:r>
        <w:rPr>
          <w:rFonts w:ascii="Arial" w:hAnsi="Arial"/>
        </w:rPr>
        <w:t xml:space="preserve">It was agreed that HEIs do not want a DfE approved mentoring programme, but should be free to </w:t>
      </w:r>
      <w:r w:rsidR="00C04A87">
        <w:rPr>
          <w:rFonts w:ascii="Arial" w:hAnsi="Arial"/>
        </w:rPr>
        <w:t>provide mentoring that is specialized and distinctive as universities, programmes informed by the priniciple of the IBTE paper and researc</w:t>
      </w:r>
      <w:r w:rsidR="007E6E6C">
        <w:rPr>
          <w:rFonts w:ascii="Arial" w:hAnsi="Arial"/>
        </w:rPr>
        <w:t>h-informed practice.</w:t>
      </w:r>
    </w:p>
    <w:p w14:paraId="3885F273" w14:textId="28D52FA7" w:rsidR="007E6E6C" w:rsidRPr="00B96003" w:rsidRDefault="007E6E6C" w:rsidP="00A7788E">
      <w:pPr>
        <w:pStyle w:val="ListParagraph"/>
        <w:numPr>
          <w:ilvl w:val="0"/>
          <w:numId w:val="5"/>
        </w:numPr>
        <w:rPr>
          <w:rFonts w:ascii="Arial" w:hAnsi="Arial"/>
          <w:b/>
          <w:bCs/>
        </w:rPr>
      </w:pPr>
      <w:r w:rsidRPr="00B96003">
        <w:rPr>
          <w:rFonts w:ascii="Arial" w:hAnsi="Arial"/>
          <w:b/>
          <w:bCs/>
        </w:rPr>
        <w:t xml:space="preserve">The EC agreed that </w:t>
      </w:r>
      <w:r w:rsidR="00A63B62" w:rsidRPr="00B96003">
        <w:rPr>
          <w:rFonts w:ascii="Arial" w:hAnsi="Arial"/>
          <w:b/>
          <w:bCs/>
        </w:rPr>
        <w:t xml:space="preserve">UCET should ask the DfE to extend the deadline for </w:t>
      </w:r>
      <w:r w:rsidR="00703F2A">
        <w:rPr>
          <w:rFonts w:ascii="Arial" w:hAnsi="Arial"/>
          <w:b/>
          <w:bCs/>
        </w:rPr>
        <w:t xml:space="preserve">submission of information about </w:t>
      </w:r>
      <w:r w:rsidR="001721DC" w:rsidRPr="00B96003">
        <w:rPr>
          <w:rFonts w:ascii="Arial" w:hAnsi="Arial"/>
          <w:b/>
          <w:bCs/>
        </w:rPr>
        <w:t>partnership arrangements.</w:t>
      </w:r>
    </w:p>
    <w:p w14:paraId="45906A1E" w14:textId="62DB76AB" w:rsidR="00B551F3" w:rsidRDefault="00E72C10" w:rsidP="00B551F3">
      <w:pPr>
        <w:pStyle w:val="ListParagraph"/>
        <w:numPr>
          <w:ilvl w:val="0"/>
          <w:numId w:val="1"/>
        </w:numPr>
        <w:rPr>
          <w:rFonts w:ascii="Arial" w:hAnsi="Arial"/>
        </w:rPr>
      </w:pPr>
      <w:r>
        <w:rPr>
          <w:rFonts w:ascii="Arial" w:hAnsi="Arial"/>
        </w:rPr>
        <w:t>National Institute for Teaching</w:t>
      </w:r>
    </w:p>
    <w:p w14:paraId="6001C256" w14:textId="7BC698D4" w:rsidR="00E72C10" w:rsidRDefault="00DB1389" w:rsidP="006E6925">
      <w:pPr>
        <w:pStyle w:val="ListParagraph"/>
        <w:numPr>
          <w:ilvl w:val="0"/>
          <w:numId w:val="8"/>
        </w:numPr>
        <w:ind w:left="2127"/>
        <w:rPr>
          <w:rFonts w:ascii="Arial" w:hAnsi="Arial"/>
        </w:rPr>
      </w:pPr>
      <w:r>
        <w:rPr>
          <w:rFonts w:ascii="Arial" w:hAnsi="Arial"/>
        </w:rPr>
        <w:t xml:space="preserve">JNR stressed the importance of keeping </w:t>
      </w:r>
      <w:r w:rsidR="00B96003">
        <w:rPr>
          <w:rFonts w:ascii="Arial" w:hAnsi="Arial"/>
        </w:rPr>
        <w:t>a wa</w:t>
      </w:r>
      <w:r>
        <w:rPr>
          <w:rFonts w:ascii="Arial" w:hAnsi="Arial"/>
        </w:rPr>
        <w:t xml:space="preserve">tch on </w:t>
      </w:r>
      <w:r w:rsidR="00B96003">
        <w:rPr>
          <w:rFonts w:ascii="Arial" w:hAnsi="Arial"/>
        </w:rPr>
        <w:t>the NIT’s</w:t>
      </w:r>
      <w:r>
        <w:rPr>
          <w:rFonts w:ascii="Arial" w:hAnsi="Arial"/>
        </w:rPr>
        <w:t xml:space="preserve"> activities, especially as there is evidence of </w:t>
      </w:r>
      <w:r w:rsidR="00C91DF2">
        <w:rPr>
          <w:rFonts w:ascii="Arial" w:hAnsi="Arial"/>
        </w:rPr>
        <w:t>individual schools being poached</w:t>
      </w:r>
      <w:r w:rsidR="00C515D5">
        <w:rPr>
          <w:rFonts w:ascii="Arial" w:hAnsi="Arial"/>
        </w:rPr>
        <w:t>.</w:t>
      </w:r>
    </w:p>
    <w:p w14:paraId="4B56C485" w14:textId="3A9185CB" w:rsidR="00DF35D3" w:rsidRDefault="00C515D5" w:rsidP="006E6925">
      <w:pPr>
        <w:pStyle w:val="ListParagraph"/>
        <w:numPr>
          <w:ilvl w:val="0"/>
          <w:numId w:val="8"/>
        </w:numPr>
        <w:ind w:left="2127"/>
        <w:rPr>
          <w:rFonts w:ascii="Arial" w:hAnsi="Arial"/>
        </w:rPr>
      </w:pPr>
      <w:r>
        <w:rPr>
          <w:rFonts w:ascii="Arial" w:hAnsi="Arial"/>
        </w:rPr>
        <w:t>It was asked who the designated associate was for the NIT</w:t>
      </w:r>
      <w:r w:rsidR="00DF35D3">
        <w:rPr>
          <w:rFonts w:ascii="Arial" w:hAnsi="Arial"/>
        </w:rPr>
        <w:t>;</w:t>
      </w:r>
    </w:p>
    <w:p w14:paraId="19218758" w14:textId="67626FD3" w:rsidR="00C515D5" w:rsidRDefault="00DF35D3" w:rsidP="006E6925">
      <w:pPr>
        <w:pStyle w:val="ListParagraph"/>
        <w:numPr>
          <w:ilvl w:val="0"/>
          <w:numId w:val="8"/>
        </w:numPr>
        <w:ind w:left="2127"/>
        <w:rPr>
          <w:rFonts w:ascii="Arial" w:hAnsi="Arial"/>
        </w:rPr>
      </w:pPr>
      <w:r>
        <w:rPr>
          <w:rFonts w:ascii="Arial" w:hAnsi="Arial"/>
        </w:rPr>
        <w:t>I</w:t>
      </w:r>
      <w:r w:rsidR="00ED2C87">
        <w:rPr>
          <w:rFonts w:ascii="Arial" w:hAnsi="Arial"/>
        </w:rPr>
        <w:t>n the interests of equity,</w:t>
      </w:r>
      <w:r w:rsidR="00C515D5">
        <w:rPr>
          <w:rFonts w:ascii="Arial" w:hAnsi="Arial"/>
        </w:rPr>
        <w:t xml:space="preserve"> </w:t>
      </w:r>
      <w:r w:rsidR="00ED2C87">
        <w:rPr>
          <w:rFonts w:ascii="Arial" w:hAnsi="Arial"/>
        </w:rPr>
        <w:t>UCET needs to share intelligence between members on how what each associate advises</w:t>
      </w:r>
      <w:r>
        <w:rPr>
          <w:rFonts w:ascii="Arial" w:hAnsi="Arial"/>
        </w:rPr>
        <w:t xml:space="preserve"> on partnerships, as each person will have a different </w:t>
      </w:r>
      <w:r w:rsidR="006E6925">
        <w:rPr>
          <w:rFonts w:ascii="Arial" w:hAnsi="Arial"/>
        </w:rPr>
        <w:t>knowledge-base</w:t>
      </w:r>
      <w:r w:rsidR="008413E6">
        <w:rPr>
          <w:rFonts w:ascii="Arial" w:hAnsi="Arial"/>
        </w:rPr>
        <w:t xml:space="preserve">, influence and expectations. A regional comparison will be important. </w:t>
      </w:r>
    </w:p>
    <w:p w14:paraId="0853AB14" w14:textId="0A8EB5FC" w:rsidR="00F74CFC" w:rsidRDefault="00F74CFC" w:rsidP="006E6925">
      <w:pPr>
        <w:pStyle w:val="ListParagraph"/>
        <w:numPr>
          <w:ilvl w:val="0"/>
          <w:numId w:val="8"/>
        </w:numPr>
        <w:ind w:left="2127"/>
        <w:rPr>
          <w:rFonts w:ascii="Arial" w:hAnsi="Arial"/>
        </w:rPr>
      </w:pPr>
      <w:r>
        <w:rPr>
          <w:rFonts w:ascii="Arial" w:hAnsi="Arial"/>
        </w:rPr>
        <w:t xml:space="preserve">JNR agreed that to the idea of asking the DfE a series of questions about how associates will operate. </w:t>
      </w:r>
    </w:p>
    <w:p w14:paraId="18F0798B" w14:textId="75E3014B" w:rsidR="00F74CFC" w:rsidRDefault="00BC615D" w:rsidP="00BC615D">
      <w:pPr>
        <w:pStyle w:val="ListParagraph"/>
        <w:numPr>
          <w:ilvl w:val="0"/>
          <w:numId w:val="1"/>
        </w:numPr>
      </w:pPr>
      <w:r w:rsidRPr="00EC5AC0">
        <w:rPr>
          <w:rFonts w:ascii="Arial" w:hAnsi="Arial"/>
        </w:rPr>
        <w:t xml:space="preserve">UCET December </w:t>
      </w:r>
      <w:r w:rsidR="00EC5AC0" w:rsidRPr="00EC5AC0">
        <w:rPr>
          <w:rFonts w:ascii="Arial" w:hAnsi="Arial"/>
        </w:rPr>
        <w:t>newsletter</w:t>
      </w:r>
      <w:r w:rsidR="00EC5AC0">
        <w:t xml:space="preserve"> </w:t>
      </w:r>
    </w:p>
    <w:p w14:paraId="440A7D4C" w14:textId="3D5DFC41" w:rsidR="00EC5AC0" w:rsidRDefault="00EC5AC0" w:rsidP="00646AA9">
      <w:pPr>
        <w:pStyle w:val="ListParagraph"/>
        <w:numPr>
          <w:ilvl w:val="0"/>
          <w:numId w:val="9"/>
        </w:numPr>
        <w:rPr>
          <w:rFonts w:ascii="Arial" w:hAnsi="Arial"/>
        </w:rPr>
      </w:pPr>
      <w:r w:rsidRPr="00EC5AC0">
        <w:rPr>
          <w:rFonts w:ascii="Arial" w:hAnsi="Arial"/>
        </w:rPr>
        <w:t xml:space="preserve">Noted for information. </w:t>
      </w:r>
    </w:p>
    <w:p w14:paraId="7F9361DF" w14:textId="7B68A6B6" w:rsidR="00646AA9" w:rsidRDefault="00646AA9" w:rsidP="00646AA9">
      <w:pPr>
        <w:pStyle w:val="ListParagraph"/>
        <w:numPr>
          <w:ilvl w:val="0"/>
          <w:numId w:val="1"/>
        </w:numPr>
        <w:rPr>
          <w:rFonts w:ascii="Arial" w:hAnsi="Arial"/>
        </w:rPr>
      </w:pPr>
      <w:r w:rsidRPr="00646AA9">
        <w:rPr>
          <w:rFonts w:ascii="Arial" w:hAnsi="Arial"/>
        </w:rPr>
        <w:t>Any other business</w:t>
      </w:r>
    </w:p>
    <w:p w14:paraId="11C59DFF" w14:textId="42F5638D" w:rsidR="00EF2A92" w:rsidRPr="00EF2A92" w:rsidRDefault="00236DA3" w:rsidP="00FF370B">
      <w:pPr>
        <w:pStyle w:val="ListParagraph"/>
        <w:numPr>
          <w:ilvl w:val="0"/>
          <w:numId w:val="9"/>
        </w:numPr>
        <w:rPr>
          <w:rFonts w:ascii="Arial" w:hAnsi="Arial"/>
        </w:rPr>
      </w:pPr>
      <w:r>
        <w:rPr>
          <w:rFonts w:ascii="Arial" w:hAnsi="Arial"/>
        </w:rPr>
        <w:t xml:space="preserve">Teacher strikes: DfE have </w:t>
      </w:r>
      <w:r w:rsidR="000E5659">
        <w:rPr>
          <w:rFonts w:ascii="Arial" w:hAnsi="Arial"/>
        </w:rPr>
        <w:t xml:space="preserve">stated that there </w:t>
      </w:r>
      <w:r w:rsidR="000E5659" w:rsidRPr="000E5659">
        <w:rPr>
          <w:rFonts w:ascii="Arial" w:hAnsi="Arial"/>
        </w:rPr>
        <w:t xml:space="preserve">should not be any ITE compliance issues if students miss a limited number of days in school because of industrial action, because the ‘days in school’ requirements relate to programme design rather than to the experiences of individual students. Should any industrial action have a longer term impact on placements, </w:t>
      </w:r>
      <w:r w:rsidR="00EF2A92">
        <w:rPr>
          <w:rFonts w:ascii="Arial" w:hAnsi="Arial"/>
        </w:rPr>
        <w:t xml:space="preserve">UCET </w:t>
      </w:r>
      <w:r w:rsidR="000E5659" w:rsidRPr="000E5659">
        <w:rPr>
          <w:rFonts w:ascii="Arial" w:hAnsi="Arial"/>
        </w:rPr>
        <w:t>are discussing with DfE the options for re-introducing some of the relaxations made to the ITE requirements during the peak of the Covid pandemic</w:t>
      </w:r>
      <w:r w:rsidR="00EF2A92">
        <w:rPr>
          <w:rFonts w:ascii="Arial" w:hAnsi="Arial"/>
        </w:rPr>
        <w:t xml:space="preserve">; </w:t>
      </w:r>
      <w:r w:rsidR="00EF2A92" w:rsidRPr="00FF370B">
        <w:rPr>
          <w:rFonts w:ascii="Arial" w:hAnsi="Arial"/>
          <w:b/>
          <w:bCs/>
        </w:rPr>
        <w:t xml:space="preserve">JNR to send out a </w:t>
      </w:r>
      <w:r w:rsidR="00FF370B" w:rsidRPr="00FF370B">
        <w:rPr>
          <w:rFonts w:ascii="Arial" w:hAnsi="Arial"/>
          <w:b/>
          <w:bCs/>
        </w:rPr>
        <w:t>statement to members summarizing UCET’s guidance on this.</w:t>
      </w:r>
      <w:r w:rsidR="00FF370B">
        <w:rPr>
          <w:rFonts w:ascii="Arial" w:hAnsi="Arial"/>
        </w:rPr>
        <w:t xml:space="preserve"> </w:t>
      </w:r>
    </w:p>
    <w:p w14:paraId="37168C92" w14:textId="1E2741DD" w:rsidR="00B551F3" w:rsidRPr="006E6925" w:rsidRDefault="00B551F3" w:rsidP="006E6925">
      <w:r w:rsidRPr="006E6925">
        <w:t xml:space="preserve">Date of the next meeting: </w:t>
      </w:r>
      <w:r w:rsidRPr="006E6925">
        <w:rPr>
          <w:b/>
          <w:bCs/>
        </w:rPr>
        <w:t xml:space="preserve"> 2</w:t>
      </w:r>
      <w:r w:rsidR="00FF370B">
        <w:rPr>
          <w:b/>
          <w:bCs/>
        </w:rPr>
        <w:t>1</w:t>
      </w:r>
      <w:r w:rsidR="00FF370B" w:rsidRPr="00FF370B">
        <w:rPr>
          <w:b/>
          <w:bCs/>
          <w:vertAlign w:val="superscript"/>
        </w:rPr>
        <w:t>st</w:t>
      </w:r>
      <w:r w:rsidR="00FF370B">
        <w:rPr>
          <w:b/>
          <w:bCs/>
        </w:rPr>
        <w:t xml:space="preserve"> March 2023</w:t>
      </w:r>
    </w:p>
    <w:p w14:paraId="771B8E09" w14:textId="77777777" w:rsidR="00B551F3" w:rsidRPr="00A302F6" w:rsidRDefault="00B551F3" w:rsidP="00B551F3">
      <w:pPr>
        <w:pStyle w:val="ListParagraph"/>
        <w:ind w:left="1080"/>
        <w:rPr>
          <w:rFonts w:ascii="Arial" w:hAnsi="Arial"/>
        </w:rPr>
      </w:pPr>
    </w:p>
    <w:p w14:paraId="7724D6AB" w14:textId="77777777" w:rsidR="00B551F3" w:rsidRPr="00C83984" w:rsidRDefault="00B551F3" w:rsidP="00B551F3"/>
    <w:p w14:paraId="5B4C516F" w14:textId="77777777" w:rsidR="00B551F3" w:rsidRDefault="00B551F3" w:rsidP="00B551F3">
      <w:pPr>
        <w:jc w:val="center"/>
        <w:rPr>
          <w:b/>
          <w:sz w:val="20"/>
          <w:szCs w:val="20"/>
        </w:rPr>
      </w:pPr>
    </w:p>
    <w:p w14:paraId="19DCFE25" w14:textId="77777777" w:rsidR="00B551F3" w:rsidRDefault="00B551F3" w:rsidP="00B551F3"/>
    <w:p w14:paraId="76FA7505" w14:textId="77777777" w:rsidR="00EE522E" w:rsidRDefault="00EE522E"/>
    <w:sectPr w:rsidR="00EE522E" w:rsidSect="002B5874">
      <w:pgSz w:w="11907" w:h="16840" w:code="9"/>
      <w:pgMar w:top="1440" w:right="1080" w:bottom="1440" w:left="1080" w:header="567"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48B"/>
    <w:multiLevelType w:val="hybridMultilevel"/>
    <w:tmpl w:val="F3407E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2B4C17"/>
    <w:multiLevelType w:val="hybridMultilevel"/>
    <w:tmpl w:val="F52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1D55C4D"/>
    <w:multiLevelType w:val="hybridMultilevel"/>
    <w:tmpl w:val="80A827D6"/>
    <w:lvl w:ilvl="0" w:tplc="FA64610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8324B"/>
    <w:multiLevelType w:val="hybridMultilevel"/>
    <w:tmpl w:val="5A3875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03F7DA0"/>
    <w:multiLevelType w:val="hybridMultilevel"/>
    <w:tmpl w:val="587C0D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55313FC"/>
    <w:multiLevelType w:val="hybridMultilevel"/>
    <w:tmpl w:val="CE02CFB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9264628"/>
    <w:multiLevelType w:val="hybridMultilevel"/>
    <w:tmpl w:val="618C91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D51342C"/>
    <w:multiLevelType w:val="hybridMultilevel"/>
    <w:tmpl w:val="865AB0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09570AA"/>
    <w:multiLevelType w:val="hybridMultilevel"/>
    <w:tmpl w:val="F9C485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20750313">
    <w:abstractNumId w:val="2"/>
  </w:num>
  <w:num w:numId="2" w16cid:durableId="1881211051">
    <w:abstractNumId w:val="4"/>
  </w:num>
  <w:num w:numId="3" w16cid:durableId="1085149958">
    <w:abstractNumId w:val="5"/>
  </w:num>
  <w:num w:numId="4" w16cid:durableId="2106145557">
    <w:abstractNumId w:val="0"/>
  </w:num>
  <w:num w:numId="5" w16cid:durableId="1303777685">
    <w:abstractNumId w:val="6"/>
  </w:num>
  <w:num w:numId="6" w16cid:durableId="580718196">
    <w:abstractNumId w:val="8"/>
  </w:num>
  <w:num w:numId="7" w16cid:durableId="529337049">
    <w:abstractNumId w:val="7"/>
  </w:num>
  <w:num w:numId="8" w16cid:durableId="960458963">
    <w:abstractNumId w:val="3"/>
  </w:num>
  <w:num w:numId="9" w16cid:durableId="280772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F3"/>
    <w:rsid w:val="000B7EE4"/>
    <w:rsid w:val="000E5659"/>
    <w:rsid w:val="000F440B"/>
    <w:rsid w:val="001126B8"/>
    <w:rsid w:val="00124A8F"/>
    <w:rsid w:val="001721DC"/>
    <w:rsid w:val="00236DA3"/>
    <w:rsid w:val="002735CC"/>
    <w:rsid w:val="003040FD"/>
    <w:rsid w:val="003E7775"/>
    <w:rsid w:val="0042039F"/>
    <w:rsid w:val="00436E34"/>
    <w:rsid w:val="00463C0B"/>
    <w:rsid w:val="004B1E8D"/>
    <w:rsid w:val="004B7121"/>
    <w:rsid w:val="004C6A72"/>
    <w:rsid w:val="004D1591"/>
    <w:rsid w:val="00556060"/>
    <w:rsid w:val="005D4B92"/>
    <w:rsid w:val="005E6A39"/>
    <w:rsid w:val="00611139"/>
    <w:rsid w:val="0061492A"/>
    <w:rsid w:val="00615468"/>
    <w:rsid w:val="00646AA9"/>
    <w:rsid w:val="00651E21"/>
    <w:rsid w:val="00676EC6"/>
    <w:rsid w:val="006D4FAF"/>
    <w:rsid w:val="006E6925"/>
    <w:rsid w:val="006F042C"/>
    <w:rsid w:val="00703F2A"/>
    <w:rsid w:val="0071417A"/>
    <w:rsid w:val="00771A43"/>
    <w:rsid w:val="007B183D"/>
    <w:rsid w:val="007E6E6C"/>
    <w:rsid w:val="008102AD"/>
    <w:rsid w:val="008413E6"/>
    <w:rsid w:val="00914D1F"/>
    <w:rsid w:val="009326EF"/>
    <w:rsid w:val="0095055D"/>
    <w:rsid w:val="009807A3"/>
    <w:rsid w:val="00986C59"/>
    <w:rsid w:val="009B73F5"/>
    <w:rsid w:val="00A63B62"/>
    <w:rsid w:val="00A7788E"/>
    <w:rsid w:val="00A95AA4"/>
    <w:rsid w:val="00B005AD"/>
    <w:rsid w:val="00B551F3"/>
    <w:rsid w:val="00B56462"/>
    <w:rsid w:val="00B7401D"/>
    <w:rsid w:val="00B96003"/>
    <w:rsid w:val="00BC615D"/>
    <w:rsid w:val="00C034A3"/>
    <w:rsid w:val="00C04A87"/>
    <w:rsid w:val="00C253CA"/>
    <w:rsid w:val="00C515D5"/>
    <w:rsid w:val="00C91DF2"/>
    <w:rsid w:val="00C9403D"/>
    <w:rsid w:val="00D012ED"/>
    <w:rsid w:val="00D14D77"/>
    <w:rsid w:val="00DB0E5C"/>
    <w:rsid w:val="00DB1389"/>
    <w:rsid w:val="00DE50E8"/>
    <w:rsid w:val="00DF35D3"/>
    <w:rsid w:val="00E32558"/>
    <w:rsid w:val="00E72C10"/>
    <w:rsid w:val="00E8058D"/>
    <w:rsid w:val="00EB3733"/>
    <w:rsid w:val="00EB75BA"/>
    <w:rsid w:val="00EC5AC0"/>
    <w:rsid w:val="00ED2C87"/>
    <w:rsid w:val="00EE522E"/>
    <w:rsid w:val="00EF2A92"/>
    <w:rsid w:val="00F74CFC"/>
    <w:rsid w:val="00FF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0DBB4"/>
  <w15:chartTrackingRefBased/>
  <w15:docId w15:val="{A92F6054-3BFA-41E3-8A6F-BB07FBC1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1F3"/>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1F3"/>
    <w:pPr>
      <w:ind w:left="720"/>
      <w:contextualSpacing/>
    </w:pPr>
    <w:rPr>
      <w:rFonts w:ascii="Calibri" w:eastAsia="Calibri" w:hAnsi="Calibri"/>
      <w:sz w:val="22"/>
      <w:szCs w:val="22"/>
    </w:rPr>
  </w:style>
  <w:style w:type="character" w:styleId="Hyperlink">
    <w:name w:val="Hyperlink"/>
    <w:basedOn w:val="DefaultParagraphFont"/>
    <w:uiPriority w:val="99"/>
    <w:unhideWhenUsed/>
    <w:rsid w:val="00B551F3"/>
    <w:rPr>
      <w:color w:val="0563C1" w:themeColor="hyperlink"/>
      <w:u w:val="single"/>
    </w:rPr>
  </w:style>
  <w:style w:type="character" w:styleId="CommentReference">
    <w:name w:val="annotation reference"/>
    <w:basedOn w:val="DefaultParagraphFont"/>
    <w:uiPriority w:val="99"/>
    <w:semiHidden/>
    <w:unhideWhenUsed/>
    <w:rsid w:val="006F042C"/>
    <w:rPr>
      <w:sz w:val="16"/>
      <w:szCs w:val="16"/>
    </w:rPr>
  </w:style>
  <w:style w:type="paragraph" w:styleId="CommentText">
    <w:name w:val="annotation text"/>
    <w:basedOn w:val="Normal"/>
    <w:link w:val="CommentTextChar"/>
    <w:uiPriority w:val="99"/>
    <w:unhideWhenUsed/>
    <w:rsid w:val="006F042C"/>
    <w:rPr>
      <w:sz w:val="20"/>
      <w:szCs w:val="20"/>
    </w:rPr>
  </w:style>
  <w:style w:type="character" w:customStyle="1" w:styleId="CommentTextChar">
    <w:name w:val="Comment Text Char"/>
    <w:basedOn w:val="DefaultParagraphFont"/>
    <w:link w:val="CommentText"/>
    <w:uiPriority w:val="99"/>
    <w:rsid w:val="006F042C"/>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6F042C"/>
    <w:rPr>
      <w:b/>
      <w:bCs/>
    </w:rPr>
  </w:style>
  <w:style w:type="character" w:customStyle="1" w:styleId="CommentSubjectChar">
    <w:name w:val="Comment Subject Char"/>
    <w:basedOn w:val="CommentTextChar"/>
    <w:link w:val="CommentSubject"/>
    <w:uiPriority w:val="99"/>
    <w:semiHidden/>
    <w:rsid w:val="006F042C"/>
    <w:rPr>
      <w:rFonts w:ascii="Arial" w:eastAsia="Times New Roman" w:hAnsi="Arial" w:cs="Arial"/>
      <w:b/>
      <w:bCs/>
      <w:sz w:val="20"/>
      <w:szCs w:val="20"/>
    </w:rPr>
  </w:style>
  <w:style w:type="character" w:styleId="UnresolvedMention">
    <w:name w:val="Unresolved Mention"/>
    <w:basedOn w:val="DefaultParagraphFont"/>
    <w:uiPriority w:val="99"/>
    <w:semiHidden/>
    <w:unhideWhenUsed/>
    <w:rsid w:val="00714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l.ac.uk/social-science/research/anti-racism-framework/" TargetMode="External"/><Relationship Id="rId5" Type="http://schemas.openxmlformats.org/officeDocument/2006/relationships/styles" Target="styles.xml"/><Relationship Id="rId10" Type="http://schemas.openxmlformats.org/officeDocument/2006/relationships/hyperlink" Target="https://www.ucet.ac.uk/14635/anti-racism-itet-framework" TargetMode="External"/><Relationship Id="rId4" Type="http://schemas.openxmlformats.org/officeDocument/2006/relationships/numbering" Target="numbering.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95883a-d786-4b4f-a5c8-93a53e2574e9">
      <Terms xmlns="http://schemas.microsoft.com/office/infopath/2007/PartnerControls"/>
    </lcf76f155ced4ddcb4097134ff3c332f>
    <TaxCatchAll xmlns="3c323e8f-b349-459e-99de-466e326f23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5" ma:contentTypeDescription="Create a new document." ma:contentTypeScope="" ma:versionID="9cbff150964d7d31ddf086f80b2d5bcc">
  <xsd:schema xmlns:xsd="http://www.w3.org/2001/XMLSchema" xmlns:xs="http://www.w3.org/2001/XMLSchema" xmlns:p="http://schemas.microsoft.com/office/2006/metadata/properties" xmlns:ns2="3995883a-d786-4b4f-a5c8-93a53e2574e9" xmlns:ns3="3c323e8f-b349-459e-99de-466e326f23a6" targetNamespace="http://schemas.microsoft.com/office/2006/metadata/properties" ma:root="true" ma:fieldsID="da094f6b1a8d30fe8e341d2132a1b6fe" ns2:_="" ns3:_="">
    <xsd:import namespace="3995883a-d786-4b4f-a5c8-93a53e2574e9"/>
    <xsd:import namespace="3c323e8f-b349-459e-99de-466e326f2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e29533-ce21-4a72-8119-d08375b93a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23e8f-b349-459e-99de-466e326f2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2454f3-7b2c-42cd-8942-0b44d0a08ad4}" ma:internalName="TaxCatchAll" ma:showField="CatchAllData" ma:web="3c323e8f-b349-459e-99de-466e326f2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D7443-18CE-4E04-ABEC-59996D688FA4}">
  <ds:schemaRefs>
    <ds:schemaRef ds:uri="http://schemas.microsoft.com/office/2006/metadata/properties"/>
    <ds:schemaRef ds:uri="http://schemas.microsoft.com/office/infopath/2007/PartnerControls"/>
    <ds:schemaRef ds:uri="3995883a-d786-4b4f-a5c8-93a53e2574e9"/>
    <ds:schemaRef ds:uri="3c323e8f-b349-459e-99de-466e326f23a6"/>
  </ds:schemaRefs>
</ds:datastoreItem>
</file>

<file path=customXml/itemProps2.xml><?xml version="1.0" encoding="utf-8"?>
<ds:datastoreItem xmlns:ds="http://schemas.openxmlformats.org/officeDocument/2006/customXml" ds:itemID="{4A0B3708-7A33-4A26-8F6D-66F6417C02B7}">
  <ds:schemaRefs>
    <ds:schemaRef ds:uri="http://schemas.microsoft.com/sharepoint/v3/contenttype/forms"/>
  </ds:schemaRefs>
</ds:datastoreItem>
</file>

<file path=customXml/itemProps3.xml><?xml version="1.0" encoding="utf-8"?>
<ds:datastoreItem xmlns:ds="http://schemas.openxmlformats.org/officeDocument/2006/customXml" ds:itemID="{5BC5F702-F2E1-4E93-BB55-BB702219F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5883a-d786-4b4f-a5c8-93a53e2574e9"/>
    <ds:schemaRef ds:uri="3c323e8f-b349-459e-99de-466e326f2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6022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Fincher</dc:creator>
  <cp:keywords/>
  <dc:description/>
  <cp:lastModifiedBy>Max Fincher</cp:lastModifiedBy>
  <cp:revision>2</cp:revision>
  <dcterms:created xsi:type="dcterms:W3CDTF">2023-01-17T13:44:00Z</dcterms:created>
  <dcterms:modified xsi:type="dcterms:W3CDTF">2023-01-17T13:44:00Z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y fmtid="{D5CDD505-2E9C-101B-9397-08002B2CF9AE}" pid="3" name="MediaServiceImageTags">
    <vt:lpwstr/>
  </property>
</Properties>
</file>