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30B2" w14:textId="7F5B90A8" w:rsidR="00E54EE9" w:rsidRPr="00024267" w:rsidRDefault="00F25001">
      <w:pPr>
        <w:rPr>
          <w:b/>
          <w:bCs/>
          <w:u w:val="single"/>
        </w:rPr>
      </w:pPr>
      <w:r w:rsidRPr="00024267">
        <w:rPr>
          <w:b/>
          <w:bCs/>
          <w:u w:val="single"/>
        </w:rPr>
        <w:t>UCET ITT stage 2 workshops queries February 2023</w:t>
      </w:r>
    </w:p>
    <w:tbl>
      <w:tblPr>
        <w:tblStyle w:val="TableGrid"/>
        <w:tblW w:w="21547" w:type="dxa"/>
        <w:tblInd w:w="-289" w:type="dxa"/>
        <w:tblLayout w:type="fixed"/>
        <w:tblLook w:val="04A0" w:firstRow="1" w:lastRow="0" w:firstColumn="1" w:lastColumn="0" w:noHBand="0" w:noVBand="1"/>
      </w:tblPr>
      <w:tblGrid>
        <w:gridCol w:w="1134"/>
        <w:gridCol w:w="9782"/>
        <w:gridCol w:w="10631"/>
      </w:tblGrid>
      <w:tr w:rsidR="00247D36" w:rsidRPr="00024267" w14:paraId="271D7A03" w14:textId="77777777" w:rsidTr="00247D36">
        <w:tc>
          <w:tcPr>
            <w:tcW w:w="1134" w:type="dxa"/>
          </w:tcPr>
          <w:p w14:paraId="14FD62AB" w14:textId="160DC034" w:rsidR="00F25001" w:rsidRPr="00024267" w:rsidRDefault="00F25001" w:rsidP="00CF7C2A">
            <w:pPr>
              <w:spacing w:after="120" w:line="288" w:lineRule="auto"/>
              <w:rPr>
                <w:rFonts w:cstheme="minorHAnsi"/>
                <w:b/>
                <w:bCs/>
              </w:rPr>
            </w:pPr>
            <w:r w:rsidRPr="00024267">
              <w:rPr>
                <w:rFonts w:cstheme="minorHAnsi"/>
                <w:b/>
                <w:bCs/>
              </w:rPr>
              <w:t>No.</w:t>
            </w:r>
          </w:p>
        </w:tc>
        <w:tc>
          <w:tcPr>
            <w:tcW w:w="9782" w:type="dxa"/>
          </w:tcPr>
          <w:p w14:paraId="57BEFBFB" w14:textId="14DB28D1" w:rsidR="00F25001" w:rsidRPr="00024267" w:rsidRDefault="00F25001" w:rsidP="00A25C75">
            <w:pPr>
              <w:spacing w:after="120" w:line="276" w:lineRule="auto"/>
              <w:rPr>
                <w:rFonts w:cstheme="minorHAnsi"/>
                <w:b/>
                <w:bCs/>
              </w:rPr>
            </w:pPr>
            <w:r w:rsidRPr="00024267">
              <w:rPr>
                <w:rFonts w:cstheme="minorHAnsi"/>
                <w:b/>
                <w:bCs/>
              </w:rPr>
              <w:t>Question</w:t>
            </w:r>
          </w:p>
        </w:tc>
        <w:tc>
          <w:tcPr>
            <w:tcW w:w="10631" w:type="dxa"/>
          </w:tcPr>
          <w:p w14:paraId="54D5BF6C" w14:textId="7FB78599" w:rsidR="00F25001" w:rsidRPr="00024267" w:rsidRDefault="00F25001" w:rsidP="00CF7C2A">
            <w:pPr>
              <w:spacing w:after="120" w:line="288" w:lineRule="auto"/>
              <w:rPr>
                <w:rFonts w:cstheme="minorHAnsi"/>
                <w:b/>
                <w:bCs/>
              </w:rPr>
            </w:pPr>
            <w:r w:rsidRPr="00024267">
              <w:rPr>
                <w:rFonts w:cstheme="minorHAnsi"/>
                <w:b/>
                <w:bCs/>
              </w:rPr>
              <w:t>Answer</w:t>
            </w:r>
          </w:p>
        </w:tc>
      </w:tr>
      <w:tr w:rsidR="00247D36" w:rsidRPr="00024267" w14:paraId="0A91A9D9" w14:textId="77777777" w:rsidTr="00247D36">
        <w:tc>
          <w:tcPr>
            <w:tcW w:w="1134" w:type="dxa"/>
          </w:tcPr>
          <w:p w14:paraId="30DE8E85" w14:textId="04EC30D3" w:rsidR="00F25001" w:rsidRPr="00024267" w:rsidRDefault="00AC693E" w:rsidP="00CF7C2A">
            <w:pPr>
              <w:spacing w:after="120" w:line="288" w:lineRule="auto"/>
            </w:pPr>
            <w:r w:rsidRPr="00024267">
              <w:t>1</w:t>
            </w:r>
          </w:p>
        </w:tc>
        <w:tc>
          <w:tcPr>
            <w:tcW w:w="9782" w:type="dxa"/>
          </w:tcPr>
          <w:p w14:paraId="650E5E74" w14:textId="0CF30DA5" w:rsidR="00F25001" w:rsidRPr="00024267" w:rsidRDefault="00F25001" w:rsidP="00A25C75">
            <w:pPr>
              <w:spacing w:after="120" w:line="276" w:lineRule="auto"/>
              <w:rPr>
                <w:rFonts w:cstheme="minorHAnsi"/>
                <w:i/>
                <w:iCs/>
              </w:rPr>
            </w:pPr>
            <w:r w:rsidRPr="00024267">
              <w:rPr>
                <w:rFonts w:cstheme="minorHAnsi"/>
                <w:i/>
                <w:iCs/>
              </w:rPr>
              <w:t>First of all, the deadline of 28 February for the submission to DfE of information on partnerships needs to be significantly extended, as has been requested by a number of institutions and organisations, and not just those from the HE sector. Discussions and negotiations between, for example, accredited HEIs and non-accredited HEIs who might be interested in becoming lead delivery partners are inevitably complex. There will be a host of legal, financial, governance and accountability issues that will have to involve senior staff (including legal experts) from within both institutions. It will simply not be possible for these decisions to have been completed in the time currently allowed. The quality of the information provided – for example who does what in terms of curriculum design, delivery, mentor training and recruitment – will be much enhanced if more time is allowed. Added to that, some accredited providers will not have had their initial meetings with their DfE advisors until after the deadline has passed, while others will only have had the meetings just before. If the advisors are to be able to support and help steer the process, there will have to be time for them to engage with providers, and for providers to reflect on those discussions, before material is submitted</w:t>
            </w:r>
          </w:p>
        </w:tc>
        <w:tc>
          <w:tcPr>
            <w:tcW w:w="10631" w:type="dxa"/>
          </w:tcPr>
          <w:p w14:paraId="32C43985" w14:textId="7F52FF14" w:rsidR="00F25001" w:rsidRPr="00024267" w:rsidRDefault="504FCAEC" w:rsidP="00CF7C2A">
            <w:pPr>
              <w:spacing w:after="120" w:line="288" w:lineRule="auto"/>
            </w:pPr>
            <w:r w:rsidRPr="00024267">
              <w:rPr>
                <w:rFonts w:ascii="Arial" w:eastAsia="Arial" w:hAnsi="Arial" w:cs="Arial"/>
              </w:rPr>
              <w:t xml:space="preserve">The 28 February date </w:t>
            </w:r>
            <w:r w:rsidR="00024267">
              <w:rPr>
                <w:rFonts w:ascii="Arial" w:eastAsia="Arial" w:hAnsi="Arial" w:cs="Arial"/>
              </w:rPr>
              <w:t>was</w:t>
            </w:r>
            <w:r w:rsidRPr="00024267">
              <w:rPr>
                <w:rFonts w:ascii="Arial" w:eastAsia="Arial" w:hAnsi="Arial" w:cs="Arial"/>
              </w:rPr>
              <w:t xml:space="preserve"> the deadline for partnership grant applications. This is only for accredited providers who are partnering with ITT organisations in our list of 11 eligible areas which we've set out in annex A of the guidance </w:t>
            </w:r>
            <w:hyperlink r:id="rId8">
              <w:r w:rsidRPr="00024267">
                <w:rPr>
                  <w:rStyle w:val="Hyperlink"/>
                  <w:rFonts w:ascii="Arial" w:eastAsia="Arial" w:hAnsi="Arial" w:cs="Arial"/>
                </w:rPr>
                <w:t>here</w:t>
              </w:r>
            </w:hyperlink>
            <w:r w:rsidRPr="00024267">
              <w:rPr>
                <w:rFonts w:ascii="Arial" w:eastAsia="Arial" w:hAnsi="Arial" w:cs="Arial"/>
              </w:rPr>
              <w:t>. For these providers, they need</w:t>
            </w:r>
            <w:r w:rsidR="007E0A5B">
              <w:rPr>
                <w:rFonts w:ascii="Arial" w:eastAsia="Arial" w:hAnsi="Arial" w:cs="Arial"/>
              </w:rPr>
              <w:t>ed</w:t>
            </w:r>
            <w:r w:rsidRPr="00024267">
              <w:rPr>
                <w:rFonts w:ascii="Arial" w:eastAsia="Arial" w:hAnsi="Arial" w:cs="Arial"/>
              </w:rPr>
              <w:t xml:space="preserve"> to fill out a application form &amp; provide some evidence of partnership discussions so we can get a signed grant agreement in place with them. This can be as simple as an email from both parties confirming their intent to partner. There is no wider requirement for providers to detail their partnership arrangements for this date. We are encouraging any provider with questions or concerns about the grant and the associated timeline to contact us using the </w:t>
            </w:r>
            <w:hyperlink r:id="rId9">
              <w:r w:rsidRPr="00024267">
                <w:rPr>
                  <w:rStyle w:val="Hyperlink"/>
                  <w:rFonts w:ascii="Arial" w:eastAsia="Arial" w:hAnsi="Arial" w:cs="Arial"/>
                </w:rPr>
                <w:t>ittreform.funding@education.gov.uk</w:t>
              </w:r>
            </w:hyperlink>
            <w:r w:rsidRPr="00024267">
              <w:rPr>
                <w:rFonts w:ascii="Arial" w:eastAsia="Arial" w:hAnsi="Arial" w:cs="Arial"/>
              </w:rPr>
              <w:t xml:space="preserve"> mailbox.</w:t>
            </w:r>
          </w:p>
          <w:p w14:paraId="734A75AF" w14:textId="10FF1CA6" w:rsidR="00F25001" w:rsidRPr="00024267" w:rsidRDefault="00F25001" w:rsidP="00CF7C2A">
            <w:pPr>
              <w:spacing w:after="120" w:line="288" w:lineRule="auto"/>
            </w:pPr>
          </w:p>
        </w:tc>
      </w:tr>
      <w:tr w:rsidR="00247D36" w:rsidRPr="00024267" w14:paraId="55324A8E" w14:textId="77777777" w:rsidTr="00247D36">
        <w:tc>
          <w:tcPr>
            <w:tcW w:w="1134" w:type="dxa"/>
          </w:tcPr>
          <w:p w14:paraId="34FB8805" w14:textId="133DAA1E" w:rsidR="00F25001" w:rsidRPr="00024267" w:rsidRDefault="00AC693E" w:rsidP="00CF7C2A">
            <w:pPr>
              <w:spacing w:after="120" w:line="288" w:lineRule="auto"/>
              <w:rPr>
                <w:rFonts w:cstheme="minorHAnsi"/>
              </w:rPr>
            </w:pPr>
            <w:r w:rsidRPr="00024267">
              <w:rPr>
                <w:rFonts w:cstheme="minorHAnsi"/>
              </w:rPr>
              <w:t>5</w:t>
            </w:r>
          </w:p>
        </w:tc>
        <w:tc>
          <w:tcPr>
            <w:tcW w:w="9782" w:type="dxa"/>
          </w:tcPr>
          <w:p w14:paraId="540AB8E6" w14:textId="77777777" w:rsidR="00F25001" w:rsidRPr="00024267" w:rsidRDefault="00F25001" w:rsidP="00A25C75">
            <w:pPr>
              <w:spacing w:line="276" w:lineRule="auto"/>
              <w:rPr>
                <w:rFonts w:cstheme="minorHAnsi"/>
                <w:i/>
                <w:iCs/>
              </w:rPr>
            </w:pPr>
            <w:r w:rsidRPr="006150D7">
              <w:rPr>
                <w:rFonts w:cstheme="minorHAnsi"/>
                <w:i/>
                <w:iCs/>
              </w:rPr>
              <w:t>How will the teaching apprenticeship fit into the new arrangements?</w:t>
            </w:r>
            <w:r w:rsidRPr="00024267">
              <w:rPr>
                <w:rFonts w:cstheme="minorHAnsi"/>
                <w:i/>
                <w:iCs/>
              </w:rPr>
              <w:t xml:space="preserve"> A number of issues will have to be teased out about how the new apprenticeship could be made to comply with the new Quality Requirements and be delivered in a way that meets DfE and OfSTED expectations in regards consistency across whole partnerships. For example, issues in regards the length of programmes and the time allowed on salaried routes for ‘training’ </w:t>
            </w:r>
            <w:r w:rsidRPr="006150D7">
              <w:rPr>
                <w:rFonts w:cstheme="minorHAnsi"/>
                <w:i/>
                <w:iCs/>
              </w:rPr>
              <w:t>Will the employing school in effect be a lead delivery partner? What scope will they have to influence how programmes are designed and delivered?</w:t>
            </w:r>
          </w:p>
          <w:p w14:paraId="309DF36C" w14:textId="77777777" w:rsidR="00F25001" w:rsidRPr="00024267" w:rsidRDefault="00F25001" w:rsidP="00A25C75">
            <w:pPr>
              <w:spacing w:after="120" w:line="276" w:lineRule="auto"/>
              <w:rPr>
                <w:rFonts w:cstheme="minorHAnsi"/>
                <w:i/>
                <w:iCs/>
              </w:rPr>
            </w:pPr>
          </w:p>
        </w:tc>
        <w:tc>
          <w:tcPr>
            <w:tcW w:w="10631" w:type="dxa"/>
            <w:shd w:val="clear" w:color="auto" w:fill="auto"/>
          </w:tcPr>
          <w:p w14:paraId="5963F280" w14:textId="3F71E940" w:rsidR="007E4F79" w:rsidRPr="00024267" w:rsidRDefault="00C168BD" w:rsidP="00AE67F3">
            <w:pPr>
              <w:spacing w:line="276" w:lineRule="auto"/>
              <w:rPr>
                <w:rFonts w:cstheme="minorHAnsi"/>
              </w:rPr>
            </w:pPr>
            <w:r w:rsidRPr="00024267">
              <w:rPr>
                <w:rFonts w:cstheme="minorHAnsi"/>
              </w:rPr>
              <w:t>The Quality Requirements, including the minimum time allocations, apply across all courses that lead to QTS. For the PGTA, due consideration will need to be given to the timing of the end of course assessment processes to ensure that the Quality Requirements are delivered in full.</w:t>
            </w:r>
          </w:p>
          <w:p w14:paraId="3FE45033" w14:textId="77777777" w:rsidR="007E4F79" w:rsidRPr="00024267" w:rsidRDefault="007E4F79" w:rsidP="00AE67F3">
            <w:pPr>
              <w:spacing w:line="276" w:lineRule="auto"/>
              <w:rPr>
                <w:rFonts w:cstheme="minorHAnsi"/>
              </w:rPr>
            </w:pPr>
          </w:p>
          <w:p w14:paraId="0824E1EC" w14:textId="15A0FB48" w:rsidR="00D45562" w:rsidRPr="00024267" w:rsidRDefault="00690D3B" w:rsidP="00AE67F3">
            <w:pPr>
              <w:spacing w:line="276" w:lineRule="auto"/>
              <w:rPr>
                <w:rFonts w:cstheme="minorHAnsi"/>
              </w:rPr>
            </w:pPr>
            <w:r w:rsidRPr="00024267">
              <w:rPr>
                <w:rFonts w:cstheme="minorHAnsi"/>
              </w:rPr>
              <w:t>The accredited provider</w:t>
            </w:r>
            <w:r w:rsidR="007A23A8" w:rsidRPr="00024267">
              <w:rPr>
                <w:rFonts w:cstheme="minorHAnsi"/>
              </w:rPr>
              <w:t xml:space="preserve"> </w:t>
            </w:r>
            <w:r w:rsidRPr="00024267">
              <w:t xml:space="preserve">has full and final accountability for all aspects of training design, delivery and quality across the partnership. </w:t>
            </w:r>
            <w:r w:rsidR="00D9096A" w:rsidRPr="00024267">
              <w:t>Accredited p</w:t>
            </w:r>
            <w:r w:rsidR="00741B7D" w:rsidRPr="00024267">
              <w:t>roviders are therefore responsible for determining the</w:t>
            </w:r>
            <w:r w:rsidR="00E61626" w:rsidRPr="00024267">
              <w:t xml:space="preserve"> role</w:t>
            </w:r>
            <w:r w:rsidR="00741B7D" w:rsidRPr="00024267">
              <w:t>s</w:t>
            </w:r>
            <w:r w:rsidR="00E61626" w:rsidRPr="00024267">
              <w:t xml:space="preserve"> and responsibilit</w:t>
            </w:r>
            <w:r w:rsidR="00741B7D" w:rsidRPr="00024267">
              <w:t>ies</w:t>
            </w:r>
            <w:r w:rsidR="00E61626" w:rsidRPr="00024267">
              <w:t xml:space="preserve"> of</w:t>
            </w:r>
            <w:r w:rsidR="005377D9" w:rsidRPr="00024267">
              <w:t xml:space="preserve"> organisations within their partnership through agreement. This includes</w:t>
            </w:r>
            <w:r w:rsidR="00E61626" w:rsidRPr="00024267">
              <w:t xml:space="preserve"> employing </w:t>
            </w:r>
            <w:r w:rsidR="00D9096A" w:rsidRPr="00024267">
              <w:t>schools</w:t>
            </w:r>
            <w:r w:rsidR="00DB5990" w:rsidRPr="00024267">
              <w:t xml:space="preserve">, </w:t>
            </w:r>
            <w:r w:rsidR="007A23A8" w:rsidRPr="00024267">
              <w:rPr>
                <w:rFonts w:cstheme="minorHAnsi"/>
              </w:rPr>
              <w:t>apprenticeship provider</w:t>
            </w:r>
            <w:r w:rsidR="005377D9" w:rsidRPr="00024267">
              <w:rPr>
                <w:rFonts w:cstheme="minorHAnsi"/>
              </w:rPr>
              <w:t>s, and</w:t>
            </w:r>
            <w:r w:rsidR="00591A6F" w:rsidRPr="00024267">
              <w:rPr>
                <w:rFonts w:cstheme="minorHAnsi"/>
              </w:rPr>
              <w:t xml:space="preserve"> any o</w:t>
            </w:r>
            <w:r w:rsidR="00DB5990" w:rsidRPr="00024267">
              <w:rPr>
                <w:rFonts w:cstheme="minorHAnsi"/>
              </w:rPr>
              <w:t>ther organisation</w:t>
            </w:r>
            <w:r w:rsidR="00591A6F" w:rsidRPr="00024267">
              <w:rPr>
                <w:rFonts w:cstheme="minorHAnsi"/>
              </w:rPr>
              <w:t>s</w:t>
            </w:r>
            <w:r w:rsidR="00DB5990" w:rsidRPr="00024267">
              <w:rPr>
                <w:rFonts w:cstheme="minorHAnsi"/>
              </w:rPr>
              <w:t xml:space="preserve"> within the partnership</w:t>
            </w:r>
            <w:r w:rsidR="00591A6F" w:rsidRPr="00024267">
              <w:rPr>
                <w:rFonts w:cstheme="minorHAnsi"/>
              </w:rPr>
              <w:t>.</w:t>
            </w:r>
          </w:p>
          <w:p w14:paraId="7E6198E0" w14:textId="77777777" w:rsidR="002C547C" w:rsidRPr="00024267" w:rsidRDefault="002C547C" w:rsidP="00E61626">
            <w:pPr>
              <w:rPr>
                <w:rFonts w:cstheme="minorHAnsi"/>
              </w:rPr>
            </w:pPr>
          </w:p>
          <w:p w14:paraId="6B70884C" w14:textId="2680E1B2" w:rsidR="00AA6087" w:rsidRPr="00024267" w:rsidRDefault="00AA6087" w:rsidP="00E61626">
            <w:pPr>
              <w:rPr>
                <w:rFonts w:cstheme="minorHAnsi"/>
              </w:rPr>
            </w:pPr>
          </w:p>
          <w:p w14:paraId="06B3B482" w14:textId="77777777" w:rsidR="004C6AD9" w:rsidRPr="00024267" w:rsidRDefault="004C6AD9" w:rsidP="00E61626">
            <w:pPr>
              <w:rPr>
                <w:rFonts w:cstheme="minorHAnsi"/>
              </w:rPr>
            </w:pPr>
          </w:p>
          <w:p w14:paraId="15DF2921" w14:textId="77777777" w:rsidR="00591A6F" w:rsidRPr="00024267" w:rsidRDefault="00591A6F" w:rsidP="00E61626">
            <w:pPr>
              <w:rPr>
                <w:rFonts w:cstheme="minorHAnsi"/>
              </w:rPr>
            </w:pPr>
          </w:p>
          <w:p w14:paraId="36903447" w14:textId="0736EEFC" w:rsidR="00D45562" w:rsidRPr="00024267" w:rsidRDefault="00D45562" w:rsidP="00CF7C2A">
            <w:pPr>
              <w:spacing w:after="120" w:line="288" w:lineRule="auto"/>
              <w:rPr>
                <w:rFonts w:cstheme="minorHAnsi"/>
              </w:rPr>
            </w:pPr>
          </w:p>
        </w:tc>
      </w:tr>
      <w:tr w:rsidR="00247D36" w:rsidRPr="00024267" w14:paraId="2F7B144E" w14:textId="77777777" w:rsidTr="00247D36">
        <w:tc>
          <w:tcPr>
            <w:tcW w:w="1134" w:type="dxa"/>
          </w:tcPr>
          <w:p w14:paraId="0562FD5C" w14:textId="3FB40BC1" w:rsidR="00F25001" w:rsidRPr="00024267" w:rsidRDefault="00AC693E" w:rsidP="00CF7C2A">
            <w:pPr>
              <w:spacing w:after="120" w:line="288" w:lineRule="auto"/>
            </w:pPr>
            <w:r w:rsidRPr="00024267">
              <w:t>6</w:t>
            </w:r>
          </w:p>
        </w:tc>
        <w:tc>
          <w:tcPr>
            <w:tcW w:w="9782" w:type="dxa"/>
          </w:tcPr>
          <w:p w14:paraId="419E68BF" w14:textId="06D8206D" w:rsidR="00F25001" w:rsidRPr="00024267" w:rsidRDefault="00F25001" w:rsidP="00A25C75">
            <w:pPr>
              <w:spacing w:after="120" w:line="276" w:lineRule="auto"/>
              <w:rPr>
                <w:rFonts w:cstheme="minorHAnsi"/>
                <w:i/>
                <w:iCs/>
              </w:rPr>
            </w:pPr>
            <w:r w:rsidRPr="006150D7">
              <w:rPr>
                <w:rFonts w:cstheme="minorHAnsi"/>
                <w:i/>
                <w:iCs/>
              </w:rPr>
              <w:t>On the submission of information about the distribution of financial resources across the partnership, we are assuming that it will be sufficient for accredited providers to identify the principles under which funding will be distributed rather than actual amounts?</w:t>
            </w:r>
            <w:r w:rsidRPr="00024267">
              <w:rPr>
                <w:rFonts w:cstheme="minorHAnsi"/>
                <w:i/>
                <w:iCs/>
              </w:rPr>
              <w:t xml:space="preserve"> The latter would not be feasible, as the balance of responsibilities between accredited providers and delivery partners could change part way through a year, for example in response to staffing changes, external pressures on one or both of the organisations or, even, global pandemics. </w:t>
            </w:r>
            <w:r w:rsidRPr="006150D7">
              <w:rPr>
                <w:rFonts w:cstheme="minorHAnsi"/>
                <w:i/>
                <w:iCs/>
              </w:rPr>
              <w:t>How set in stone and detailed will information about the apportionment of responsibilities have to be?</w:t>
            </w:r>
          </w:p>
        </w:tc>
        <w:tc>
          <w:tcPr>
            <w:tcW w:w="10631" w:type="dxa"/>
          </w:tcPr>
          <w:p w14:paraId="5595FE61" w14:textId="77777777" w:rsidR="00B83D55" w:rsidRPr="00024267" w:rsidRDefault="003E69C6" w:rsidP="003E69C6">
            <w:pPr>
              <w:spacing w:after="120" w:line="288" w:lineRule="auto"/>
              <w:rPr>
                <w:rFonts w:cstheme="minorHAnsi"/>
              </w:rPr>
            </w:pPr>
            <w:r w:rsidRPr="00024267">
              <w:rPr>
                <w:rFonts w:cstheme="minorHAnsi"/>
                <w:i/>
                <w:iCs/>
              </w:rPr>
              <w:t>On the submission of information about the distribution of financial resources across the partnership, we are assuming that it will be sufficient for accredited providers to identify the principles under which funding will be distributed rather than actual amounts?</w:t>
            </w:r>
          </w:p>
          <w:p w14:paraId="025F4EA0" w14:textId="2DCC24A1" w:rsidR="003E69C6" w:rsidRPr="00024267" w:rsidRDefault="003E69C6" w:rsidP="00442666">
            <w:pPr>
              <w:spacing w:line="276" w:lineRule="auto"/>
              <w:rPr>
                <w:rFonts w:cstheme="minorHAnsi"/>
              </w:rPr>
            </w:pPr>
            <w:r w:rsidRPr="00024267">
              <w:rPr>
                <w:rFonts w:cstheme="minorHAnsi"/>
              </w:rPr>
              <w:t xml:space="preserve">The Department are currently planning to issue two survey data collection requests requiring the disclosure of financial information. Neither of these surveys will ask for specific cost information or specific cost forecasts. If requests are made regarding this information, the survey will specify when </w:t>
            </w:r>
            <w:r w:rsidRPr="00024267">
              <w:rPr>
                <w:rFonts w:cstheme="minorHAnsi"/>
                <w:u w:val="single"/>
              </w:rPr>
              <w:t>average</w:t>
            </w:r>
            <w:r w:rsidRPr="00024267">
              <w:rPr>
                <w:rFonts w:cstheme="minorHAnsi"/>
              </w:rPr>
              <w:t xml:space="preserve"> cost or </w:t>
            </w:r>
            <w:r w:rsidRPr="00024267">
              <w:rPr>
                <w:rFonts w:cstheme="minorHAnsi"/>
                <w:u w:val="single"/>
              </w:rPr>
              <w:t>anticipated/forecast</w:t>
            </w:r>
            <w:r w:rsidRPr="00024267">
              <w:rPr>
                <w:rFonts w:cstheme="minorHAnsi"/>
              </w:rPr>
              <w:t xml:space="preserve"> cost is required. These requests will be in a ‘best estimate’ capacity to provide an insight into the financial side of the ITT market. The Department welcomes Providers to include principles and/or any assumptions applied in the comment boxes provided within each survey, however, it would not be sufficient to </w:t>
            </w:r>
            <w:r w:rsidRPr="00024267">
              <w:rPr>
                <w:rFonts w:cstheme="minorHAnsi"/>
                <w:b/>
                <w:bCs/>
                <w:u w:val="single"/>
              </w:rPr>
              <w:t>only</w:t>
            </w:r>
            <w:r w:rsidRPr="00024267">
              <w:rPr>
                <w:rFonts w:cstheme="minorHAnsi"/>
              </w:rPr>
              <w:t xml:space="preserve"> provide this information.</w:t>
            </w:r>
          </w:p>
          <w:p w14:paraId="763B4B17" w14:textId="77777777" w:rsidR="00B83D55" w:rsidRPr="00024267" w:rsidRDefault="00B83D55" w:rsidP="003E69C6">
            <w:pPr>
              <w:spacing w:after="120" w:line="288" w:lineRule="auto"/>
              <w:rPr>
                <w:rFonts w:cstheme="minorHAnsi"/>
                <w:i/>
                <w:iCs/>
              </w:rPr>
            </w:pPr>
          </w:p>
          <w:p w14:paraId="761BF4A4" w14:textId="2985347C" w:rsidR="00B83D55" w:rsidRPr="00024267" w:rsidRDefault="003E69C6" w:rsidP="003E69C6">
            <w:pPr>
              <w:spacing w:after="120" w:line="288" w:lineRule="auto"/>
              <w:rPr>
                <w:rFonts w:cstheme="minorHAnsi"/>
              </w:rPr>
            </w:pPr>
            <w:r w:rsidRPr="00024267">
              <w:rPr>
                <w:rFonts w:cstheme="minorHAnsi"/>
                <w:i/>
                <w:iCs/>
              </w:rPr>
              <w:t>How set in stone and detailed will information about the apportionment of responsibilities have to be?</w:t>
            </w:r>
          </w:p>
          <w:p w14:paraId="7525354F" w14:textId="6374A9AA" w:rsidR="00F25001" w:rsidRPr="00024267" w:rsidRDefault="003E69C6" w:rsidP="003E69C6">
            <w:pPr>
              <w:spacing w:after="120" w:line="288" w:lineRule="auto"/>
              <w:rPr>
                <w:rFonts w:cstheme="minorHAnsi"/>
              </w:rPr>
            </w:pPr>
            <w:r w:rsidRPr="00024267">
              <w:rPr>
                <w:rFonts w:cstheme="minorHAnsi"/>
              </w:rPr>
              <w:t>The Department is aware of the context of the market and encourages providers to specify in the free-text boxes within the surveys when balances of responsibilities are subject to change, and how this may be the case for their organisation.</w:t>
            </w:r>
          </w:p>
        </w:tc>
      </w:tr>
      <w:tr w:rsidR="00247D36" w:rsidRPr="00024267" w14:paraId="5DE9C0C8" w14:textId="77777777" w:rsidTr="00247D36">
        <w:tc>
          <w:tcPr>
            <w:tcW w:w="1134" w:type="dxa"/>
          </w:tcPr>
          <w:p w14:paraId="4CC48939" w14:textId="56BFB721" w:rsidR="00F25001" w:rsidRPr="00024267" w:rsidRDefault="00AC693E" w:rsidP="00CF7C2A">
            <w:pPr>
              <w:spacing w:after="120" w:line="288" w:lineRule="auto"/>
              <w:rPr>
                <w:rFonts w:cstheme="minorHAnsi"/>
              </w:rPr>
            </w:pPr>
            <w:r w:rsidRPr="006150D7">
              <w:rPr>
                <w:rFonts w:cstheme="minorHAnsi"/>
              </w:rPr>
              <w:lastRenderedPageBreak/>
              <w:t>9</w:t>
            </w:r>
          </w:p>
        </w:tc>
        <w:tc>
          <w:tcPr>
            <w:tcW w:w="9782" w:type="dxa"/>
          </w:tcPr>
          <w:p w14:paraId="2AD13277" w14:textId="342DA92B" w:rsidR="00F25001" w:rsidRPr="00A25C75" w:rsidRDefault="00AC693E" w:rsidP="00A25C75">
            <w:pPr>
              <w:spacing w:after="120" w:line="276" w:lineRule="auto"/>
              <w:rPr>
                <w:rFonts w:cstheme="minorHAnsi"/>
                <w:i/>
                <w:iCs/>
              </w:rPr>
            </w:pPr>
            <w:r w:rsidRPr="006150D7">
              <w:rPr>
                <w:rFonts w:eastAsia="Times New Roman" w:cstheme="minorHAnsi"/>
                <w:i/>
                <w:iCs/>
                <w:lang w:eastAsia="en-GB"/>
              </w:rPr>
              <w:t>To what extent will providers be held to account in the future to the range of materials they submit now, taking account of the fact that programmes will have to evolve in the years ahead to reflect changing contexts and priorities?</w:t>
            </w:r>
            <w:r w:rsidRPr="00A25C75">
              <w:rPr>
                <w:rFonts w:eastAsia="Times New Roman" w:cstheme="minorHAnsi"/>
                <w:i/>
                <w:iCs/>
                <w:lang w:eastAsia="en-GB"/>
              </w:rPr>
              <w:t xml:space="preserve"> For undergraduate programmes, some aspects of the new curricula won’t be delivered until 2027, and nothing drafted now will be wholly relevant or appropriate by then.</w:t>
            </w:r>
          </w:p>
        </w:tc>
        <w:tc>
          <w:tcPr>
            <w:tcW w:w="10631" w:type="dxa"/>
          </w:tcPr>
          <w:p w14:paraId="52A39E2F" w14:textId="77777777" w:rsidR="00AC693E" w:rsidRPr="00024267" w:rsidRDefault="00AC693E" w:rsidP="00CF7C2A">
            <w:pPr>
              <w:rPr>
                <w:rFonts w:cstheme="minorHAnsi"/>
              </w:rPr>
            </w:pPr>
            <w:r w:rsidRPr="00024267">
              <w:rPr>
                <w:rFonts w:cstheme="minorHAnsi"/>
              </w:rPr>
              <w:t xml:space="preserve">We understand that providers have been and will continue to develop their trainee curricula since stage 1 and that therefore the curriculum map submitted in stage 1 will not necessarily be identical to the curriculum delivered in the 2024/25. Providers do not need to submit an updated curriculum map to the department, but should let their provider relationship manager (once allocated) know of any significant changes. </w:t>
            </w:r>
          </w:p>
          <w:p w14:paraId="3689C224" w14:textId="77777777" w:rsidR="00F25001" w:rsidRPr="00024267" w:rsidRDefault="00F25001" w:rsidP="00CF7C2A">
            <w:pPr>
              <w:spacing w:after="120" w:line="288" w:lineRule="auto"/>
              <w:rPr>
                <w:rFonts w:cstheme="minorHAnsi"/>
              </w:rPr>
            </w:pPr>
          </w:p>
        </w:tc>
      </w:tr>
      <w:tr w:rsidR="00247D36" w:rsidRPr="00024267" w14:paraId="1D5C7959" w14:textId="77777777" w:rsidTr="00247D36">
        <w:tc>
          <w:tcPr>
            <w:tcW w:w="1134" w:type="dxa"/>
          </w:tcPr>
          <w:p w14:paraId="2868E90A" w14:textId="41D73053" w:rsidR="00F25001" w:rsidRPr="00024267" w:rsidRDefault="00AC693E" w:rsidP="00CF7C2A">
            <w:pPr>
              <w:spacing w:after="120" w:line="288" w:lineRule="auto"/>
              <w:rPr>
                <w:rFonts w:cstheme="minorHAnsi"/>
              </w:rPr>
            </w:pPr>
            <w:r w:rsidRPr="006150D7">
              <w:rPr>
                <w:rFonts w:cstheme="minorHAnsi"/>
              </w:rPr>
              <w:t>10</w:t>
            </w:r>
          </w:p>
        </w:tc>
        <w:tc>
          <w:tcPr>
            <w:tcW w:w="9782" w:type="dxa"/>
          </w:tcPr>
          <w:p w14:paraId="5BC0FF85" w14:textId="32A82DB6" w:rsidR="00F25001" w:rsidRPr="00A25C75" w:rsidRDefault="00AC693E" w:rsidP="00A25C75">
            <w:pPr>
              <w:spacing w:after="120" w:line="276" w:lineRule="auto"/>
              <w:rPr>
                <w:rFonts w:cstheme="minorHAnsi"/>
                <w:i/>
                <w:iCs/>
              </w:rPr>
            </w:pPr>
            <w:r w:rsidRPr="00A25C75">
              <w:rPr>
                <w:rFonts w:cstheme="minorHAnsi"/>
                <w:i/>
                <w:iCs/>
              </w:rPr>
              <w:t xml:space="preserve">ITE curricula are being co-constructed with partnerships that are themselves in a state of flux and are being negotiated. Materials submitted, e.g.. in relation to curricula, partnership structures, ITAP and mentoring,  cannot therefore be expected to be in their final form. School-based resources are currently being developed with existing partners (e.g. SD lead schools) who might not be involved in partnerships in the same capacity in the future. </w:t>
            </w:r>
            <w:r w:rsidRPr="006150D7">
              <w:rPr>
                <w:rFonts w:cstheme="minorHAnsi"/>
                <w:i/>
                <w:iCs/>
              </w:rPr>
              <w:t>What is the scope to change such resources in the light of evolving partnerships?</w:t>
            </w:r>
          </w:p>
        </w:tc>
        <w:tc>
          <w:tcPr>
            <w:tcW w:w="10631" w:type="dxa"/>
          </w:tcPr>
          <w:p w14:paraId="161777D2" w14:textId="33252278" w:rsidR="00F25001" w:rsidRPr="00024267" w:rsidRDefault="00AC693E" w:rsidP="00CF7C2A">
            <w:pPr>
              <w:spacing w:after="120" w:line="288" w:lineRule="auto"/>
              <w:rPr>
                <w:rFonts w:cstheme="minorHAnsi"/>
              </w:rPr>
            </w:pPr>
            <w:r w:rsidRPr="00024267">
              <w:rPr>
                <w:rFonts w:cstheme="minorHAnsi"/>
              </w:rPr>
              <w:t>Answer as in Q9 above</w:t>
            </w:r>
          </w:p>
        </w:tc>
      </w:tr>
      <w:tr w:rsidR="00247D36" w:rsidRPr="00024267" w14:paraId="4C70942B" w14:textId="77777777" w:rsidTr="00247D36">
        <w:tc>
          <w:tcPr>
            <w:tcW w:w="1134" w:type="dxa"/>
          </w:tcPr>
          <w:p w14:paraId="7FA81ECC" w14:textId="16ED3C4F" w:rsidR="00F25001" w:rsidRPr="00024267" w:rsidRDefault="00AC693E" w:rsidP="00CF7C2A">
            <w:pPr>
              <w:spacing w:after="120" w:line="288" w:lineRule="auto"/>
              <w:rPr>
                <w:rFonts w:cstheme="minorHAnsi"/>
              </w:rPr>
            </w:pPr>
            <w:r w:rsidRPr="006150D7">
              <w:rPr>
                <w:rFonts w:cstheme="minorHAnsi"/>
              </w:rPr>
              <w:t>11</w:t>
            </w:r>
          </w:p>
        </w:tc>
        <w:tc>
          <w:tcPr>
            <w:tcW w:w="9782" w:type="dxa"/>
          </w:tcPr>
          <w:p w14:paraId="6FB285A5" w14:textId="4376A0D4" w:rsidR="00F25001" w:rsidRPr="00A25C75" w:rsidRDefault="00AC693E" w:rsidP="00A25C75">
            <w:pPr>
              <w:spacing w:after="120" w:line="276" w:lineRule="auto"/>
              <w:rPr>
                <w:rFonts w:cstheme="minorHAnsi"/>
                <w:i/>
                <w:iCs/>
              </w:rPr>
            </w:pPr>
            <w:r w:rsidRPr="00A25C75">
              <w:rPr>
                <w:rFonts w:eastAsia="Times New Roman" w:cstheme="minorHAnsi"/>
                <w:i/>
                <w:iCs/>
                <w:lang w:eastAsia="en-GB"/>
              </w:rPr>
              <w:t xml:space="preserve">DfE has asked for materials etc. that were not included on approved curriculum maps and are sometimes inconsistent with material submitted in stage 1 and subsequently approved. For example, this might include a request for school-based materials for parts of a programme that are centre-based. </w:t>
            </w:r>
            <w:r w:rsidRPr="006150D7">
              <w:rPr>
                <w:rFonts w:eastAsia="Times New Roman" w:cstheme="minorHAnsi"/>
                <w:i/>
                <w:iCs/>
                <w:lang w:eastAsia="en-GB"/>
              </w:rPr>
              <w:t>What is the reason for this?</w:t>
            </w:r>
          </w:p>
        </w:tc>
        <w:tc>
          <w:tcPr>
            <w:tcW w:w="10631" w:type="dxa"/>
          </w:tcPr>
          <w:p w14:paraId="2EBE0FCA" w14:textId="6798FB52" w:rsidR="00F25001" w:rsidRPr="00024267" w:rsidRDefault="00AC693E" w:rsidP="00CF7C2A">
            <w:pPr>
              <w:spacing w:before="100" w:beforeAutospacing="1" w:after="120" w:line="288" w:lineRule="auto"/>
              <w:rPr>
                <w:rFonts w:eastAsia="Calibri" w:cstheme="minorHAnsi"/>
                <w:color w:val="70AD47"/>
                <w:lang w:eastAsia="en-GB"/>
              </w:rPr>
            </w:pPr>
            <w:r w:rsidRPr="00024267">
              <w:rPr>
                <w:rFonts w:eastAsia="Calibri" w:cstheme="minorHAnsi"/>
                <w:lang w:eastAsia="en-GB"/>
              </w:rPr>
              <w:t xml:space="preserve">Our aim where possible has been to request a mixture of centre-based materials and materials supporting the exploration of the concept or area of the CCF while on the placement. The cases described above are likely to stem from a misinterpretation of the provider’s curriculum map – in cases where a provider is confused about the materials that have been requested, they should contact </w:t>
            </w:r>
            <w:hyperlink r:id="rId10" w:history="1">
              <w:r w:rsidRPr="00024267">
                <w:rPr>
                  <w:rFonts w:eastAsia="Calibri" w:cstheme="minorHAnsi"/>
                  <w:u w:val="single"/>
                  <w:lang w:eastAsia="en-GB"/>
                </w:rPr>
                <w:t>ITT.providersupport@education.gov.uk</w:t>
              </w:r>
            </w:hyperlink>
            <w:r w:rsidRPr="00024267">
              <w:rPr>
                <w:rFonts w:eastAsia="Calibri" w:cstheme="minorHAnsi"/>
                <w:lang w:eastAsia="en-GB"/>
              </w:rPr>
              <w:t xml:space="preserve"> and ask for clarification. We do not expect providers to make changes to their curriculum based on our request, and if the material(s) we have requested do not exist or are not relevant to How Pupils Learn, we will work with the provider to find a suitable alternative.</w:t>
            </w:r>
          </w:p>
        </w:tc>
      </w:tr>
      <w:tr w:rsidR="00247D36" w:rsidRPr="00024267" w14:paraId="39635316" w14:textId="77777777" w:rsidTr="00247D36">
        <w:tc>
          <w:tcPr>
            <w:tcW w:w="1134" w:type="dxa"/>
          </w:tcPr>
          <w:p w14:paraId="3B067DD4" w14:textId="003AD756" w:rsidR="00F25001" w:rsidRPr="00024267" w:rsidRDefault="00AC693E" w:rsidP="00CF7C2A">
            <w:pPr>
              <w:spacing w:after="120" w:line="288" w:lineRule="auto"/>
              <w:rPr>
                <w:rFonts w:cstheme="minorHAnsi"/>
              </w:rPr>
            </w:pPr>
            <w:r w:rsidRPr="006150D7">
              <w:rPr>
                <w:rFonts w:cstheme="minorHAnsi"/>
              </w:rPr>
              <w:t>12</w:t>
            </w:r>
          </w:p>
        </w:tc>
        <w:tc>
          <w:tcPr>
            <w:tcW w:w="9782" w:type="dxa"/>
          </w:tcPr>
          <w:p w14:paraId="0315FB58" w14:textId="70C7286F" w:rsidR="00F25001" w:rsidRPr="00A25C75" w:rsidRDefault="00CF7C2A" w:rsidP="00A25C75">
            <w:pPr>
              <w:spacing w:before="100" w:beforeAutospacing="1" w:after="120" w:line="276" w:lineRule="auto"/>
              <w:rPr>
                <w:rFonts w:cstheme="minorHAnsi"/>
                <w:i/>
                <w:iCs/>
              </w:rPr>
            </w:pPr>
            <w:r w:rsidRPr="006150D7">
              <w:rPr>
                <w:rFonts w:eastAsia="Times New Roman" w:cstheme="minorHAnsi"/>
                <w:i/>
                <w:iCs/>
                <w:lang w:eastAsia="en-GB"/>
              </w:rPr>
              <w:t>When DfE says that material won’t be shared outside the department without the consent of providers, does this include the sharing of information with DfE ‘linked’ organisations such as OfSTED or other government agencies?</w:t>
            </w:r>
            <w:r w:rsidRPr="00A25C75">
              <w:rPr>
                <w:rFonts w:eastAsia="Times New Roman" w:cstheme="minorHAnsi"/>
                <w:i/>
                <w:iCs/>
                <w:lang w:eastAsia="en-GB"/>
              </w:rPr>
              <w:t xml:space="preserve"> What does ‘not shared externally’ entail? How wide is the definition of ‘department’?</w:t>
            </w:r>
          </w:p>
        </w:tc>
        <w:tc>
          <w:tcPr>
            <w:tcW w:w="10631" w:type="dxa"/>
          </w:tcPr>
          <w:p w14:paraId="5B1C892B" w14:textId="77777777" w:rsidR="00CF7C2A" w:rsidRPr="00024267" w:rsidRDefault="00CF7C2A" w:rsidP="00CF7C2A">
            <w:pPr>
              <w:spacing w:before="100" w:beforeAutospacing="1" w:after="120" w:line="288" w:lineRule="auto"/>
              <w:rPr>
                <w:rFonts w:cstheme="minorHAnsi"/>
                <w:lang w:eastAsia="en-GB"/>
              </w:rPr>
            </w:pPr>
            <w:r w:rsidRPr="00024267">
              <w:rPr>
                <w:rFonts w:cstheme="minorHAnsi"/>
                <w:lang w:eastAsia="en-GB"/>
              </w:rPr>
              <w:t>While materials will not be routinely shared with other government agencies, there may be cases in which we share specific materials with the Education Endowment Foundation for their views. As set out in the ITT provider guidance on stage 2, if materials remain in need of improvement following the curriculum checks, we may recommend that the provider is subject to an early inspection and in this scenario, we may share curriculum materials and the feedback from our reviews with Ofsted.</w:t>
            </w:r>
          </w:p>
          <w:p w14:paraId="7D5823D3" w14:textId="77777777" w:rsidR="00F25001" w:rsidRPr="00024267" w:rsidRDefault="00F25001" w:rsidP="00CF7C2A">
            <w:pPr>
              <w:spacing w:after="120" w:line="288" w:lineRule="auto"/>
              <w:rPr>
                <w:rFonts w:cstheme="minorHAnsi"/>
              </w:rPr>
            </w:pPr>
          </w:p>
        </w:tc>
      </w:tr>
      <w:tr w:rsidR="00247D36" w:rsidRPr="00024267" w14:paraId="2569E14B" w14:textId="77777777" w:rsidTr="00247D36">
        <w:tc>
          <w:tcPr>
            <w:tcW w:w="1134" w:type="dxa"/>
          </w:tcPr>
          <w:p w14:paraId="32774018" w14:textId="460D83E2" w:rsidR="00F25001" w:rsidRPr="00024267" w:rsidRDefault="00AC693E" w:rsidP="00CF7C2A">
            <w:pPr>
              <w:spacing w:after="120" w:line="288" w:lineRule="auto"/>
              <w:rPr>
                <w:rFonts w:cstheme="minorHAnsi"/>
              </w:rPr>
            </w:pPr>
            <w:r w:rsidRPr="006150D7">
              <w:rPr>
                <w:rFonts w:cstheme="minorHAnsi"/>
              </w:rPr>
              <w:t>13</w:t>
            </w:r>
          </w:p>
        </w:tc>
        <w:tc>
          <w:tcPr>
            <w:tcW w:w="9782" w:type="dxa"/>
          </w:tcPr>
          <w:p w14:paraId="5E2DC3C0" w14:textId="77777777" w:rsidR="00CF7C2A" w:rsidRPr="00A25C75" w:rsidRDefault="00CF7C2A" w:rsidP="00A25C75">
            <w:pPr>
              <w:spacing w:before="100" w:beforeAutospacing="1" w:line="276" w:lineRule="auto"/>
              <w:rPr>
                <w:rFonts w:eastAsia="Times New Roman" w:cstheme="minorHAnsi"/>
                <w:i/>
                <w:iCs/>
                <w:lang w:eastAsia="en-GB"/>
              </w:rPr>
            </w:pPr>
            <w:r w:rsidRPr="00A25C75">
              <w:rPr>
                <w:rFonts w:eastAsia="Times New Roman" w:cstheme="minorHAnsi"/>
                <w:i/>
                <w:iCs/>
                <w:lang w:eastAsia="en-GB"/>
              </w:rPr>
              <w:t xml:space="preserve">There appears to be inconsistency in the level of information required from different providers by DfE. </w:t>
            </w:r>
            <w:r w:rsidRPr="006150D7">
              <w:rPr>
                <w:rFonts w:eastAsia="Times New Roman" w:cstheme="minorHAnsi"/>
                <w:i/>
                <w:iCs/>
                <w:lang w:eastAsia="en-GB"/>
              </w:rPr>
              <w:t>Could we agree some joint guidance to DfE associates about the level of information to be requested?</w:t>
            </w:r>
            <w:r w:rsidRPr="00A25C75">
              <w:rPr>
                <w:rFonts w:eastAsia="Times New Roman" w:cstheme="minorHAnsi"/>
                <w:i/>
                <w:iCs/>
                <w:lang w:eastAsia="en-GB"/>
              </w:rPr>
              <w:t xml:space="preserve"> There are also inconsistencies in how DfE are communicating with providers. Sometimes it is the DfE associates and at other times it is partnership relationship managers. Some providers don’t yet know who their partnership managers are, although I do understand that some have yet to be appointed.</w:t>
            </w:r>
          </w:p>
          <w:p w14:paraId="23E2AF0A" w14:textId="77777777" w:rsidR="00F25001" w:rsidRPr="00A25C75" w:rsidRDefault="00F25001" w:rsidP="00A25C75">
            <w:pPr>
              <w:spacing w:after="120" w:line="276" w:lineRule="auto"/>
              <w:rPr>
                <w:rFonts w:cstheme="minorHAnsi"/>
                <w:i/>
                <w:iCs/>
              </w:rPr>
            </w:pPr>
          </w:p>
        </w:tc>
        <w:tc>
          <w:tcPr>
            <w:tcW w:w="10631" w:type="dxa"/>
          </w:tcPr>
          <w:p w14:paraId="555DD723" w14:textId="77777777" w:rsidR="00CF7C2A" w:rsidRPr="00024267" w:rsidRDefault="00CF7C2A" w:rsidP="00CF7C2A">
            <w:pPr>
              <w:spacing w:before="100" w:beforeAutospacing="1"/>
              <w:rPr>
                <w:rFonts w:cstheme="minorHAnsi"/>
                <w:lang w:eastAsia="en-GB"/>
              </w:rPr>
            </w:pPr>
            <w:r w:rsidRPr="00024267">
              <w:rPr>
                <w:rFonts w:cstheme="minorHAnsi"/>
                <w:lang w:eastAsia="en-GB"/>
              </w:rPr>
              <w:lastRenderedPageBreak/>
              <w:t xml:space="preserve">We will be carrying out a moderation exercise with associates within the next few weeks. One of the topics we will cover is the documentation associates require from providers as we recognise that ensuring consistency here is important. </w:t>
            </w:r>
          </w:p>
          <w:p w14:paraId="4A61CFB3" w14:textId="161B414A" w:rsidR="00F25001" w:rsidRPr="00024267" w:rsidRDefault="00CF7C2A" w:rsidP="00CF7C2A">
            <w:pPr>
              <w:spacing w:before="100" w:beforeAutospacing="1" w:after="120" w:line="288" w:lineRule="auto"/>
              <w:rPr>
                <w:rFonts w:cstheme="minorHAnsi"/>
                <w:lang w:eastAsia="en-GB"/>
              </w:rPr>
            </w:pPr>
            <w:r w:rsidRPr="00024267">
              <w:rPr>
                <w:rFonts w:cstheme="minorHAnsi"/>
                <w:lang w:eastAsia="en-GB"/>
              </w:rPr>
              <w:t xml:space="preserve">Regarding communications to providers, we are currently recruiting additional associates and PRMs, and we hope they will be in post shortly. Once in post, we plan to write to all providers </w:t>
            </w:r>
            <w:r w:rsidRPr="00024267">
              <w:rPr>
                <w:rFonts w:cstheme="minorHAnsi"/>
                <w:lang w:eastAsia="en-GB"/>
              </w:rPr>
              <w:lastRenderedPageBreak/>
              <w:t>clearly setting out the role of the associate and the role of the PRM as we understand there has been some confusion about roles and responsibilities.</w:t>
            </w:r>
          </w:p>
        </w:tc>
      </w:tr>
      <w:tr w:rsidR="00247D36" w:rsidRPr="00024267" w14:paraId="7D866106" w14:textId="77777777" w:rsidTr="00247D36">
        <w:tc>
          <w:tcPr>
            <w:tcW w:w="1134" w:type="dxa"/>
          </w:tcPr>
          <w:p w14:paraId="69F4B6DC" w14:textId="1F72DE93" w:rsidR="00F25001" w:rsidRPr="00024267" w:rsidRDefault="00AC693E" w:rsidP="00CF7C2A">
            <w:pPr>
              <w:spacing w:after="120" w:line="288" w:lineRule="auto"/>
              <w:rPr>
                <w:rFonts w:cstheme="minorHAnsi"/>
              </w:rPr>
            </w:pPr>
            <w:r w:rsidRPr="006150D7">
              <w:rPr>
                <w:rFonts w:cstheme="minorHAnsi"/>
              </w:rPr>
              <w:lastRenderedPageBreak/>
              <w:t>14</w:t>
            </w:r>
          </w:p>
        </w:tc>
        <w:tc>
          <w:tcPr>
            <w:tcW w:w="9782" w:type="dxa"/>
          </w:tcPr>
          <w:p w14:paraId="6F5A3B7F" w14:textId="77777777" w:rsidR="00CF7C2A" w:rsidRPr="00A25C75" w:rsidRDefault="00CF7C2A" w:rsidP="00A25C75">
            <w:pPr>
              <w:spacing w:before="100" w:beforeAutospacing="1" w:line="276" w:lineRule="auto"/>
              <w:rPr>
                <w:rFonts w:eastAsia="Times New Roman" w:cstheme="minorHAnsi"/>
                <w:i/>
                <w:iCs/>
                <w:lang w:eastAsia="en-GB"/>
              </w:rPr>
            </w:pPr>
            <w:r w:rsidRPr="00A25C75">
              <w:rPr>
                <w:rFonts w:eastAsia="Times New Roman" w:cstheme="minorHAnsi"/>
                <w:i/>
                <w:iCs/>
                <w:lang w:eastAsia="en-GB"/>
              </w:rPr>
              <w:t xml:space="preserve">Greater clarity is required about the level of detail that DfE expects in response to information requests. For example, </w:t>
            </w:r>
            <w:r w:rsidRPr="006150D7">
              <w:rPr>
                <w:rFonts w:eastAsia="Times New Roman" w:cstheme="minorHAnsi"/>
                <w:i/>
                <w:iCs/>
                <w:lang w:eastAsia="en-GB"/>
              </w:rPr>
              <w:t>should exemplar materials provided relate to a specific session (e.g. 1.5 hours), a full day or what?</w:t>
            </w:r>
            <w:r w:rsidRPr="00A25C75">
              <w:rPr>
                <w:rFonts w:eastAsia="Times New Roman" w:cstheme="minorHAnsi"/>
                <w:i/>
                <w:iCs/>
                <w:lang w:eastAsia="en-GB"/>
              </w:rPr>
              <w:t xml:space="preserve"> The volume of information provided would be overwhelming if too much is expected. </w:t>
            </w:r>
            <w:r w:rsidRPr="006150D7">
              <w:rPr>
                <w:rFonts w:eastAsia="Times New Roman" w:cstheme="minorHAnsi"/>
                <w:i/>
                <w:iCs/>
                <w:lang w:eastAsia="en-GB"/>
              </w:rPr>
              <w:t>Why is there variation in the number of materials requested?</w:t>
            </w:r>
            <w:r w:rsidRPr="00A25C75">
              <w:rPr>
                <w:rFonts w:eastAsia="Times New Roman" w:cstheme="minorHAnsi"/>
                <w:i/>
                <w:iCs/>
                <w:lang w:eastAsia="en-GB"/>
              </w:rPr>
              <w:t xml:space="preserve"> Some have been asked for four materials, others up to seven. </w:t>
            </w:r>
            <w:r w:rsidRPr="006150D7">
              <w:rPr>
                <w:rFonts w:eastAsia="Times New Roman" w:cstheme="minorHAnsi"/>
                <w:i/>
                <w:iCs/>
                <w:lang w:eastAsia="en-GB"/>
              </w:rPr>
              <w:t>Why is this?</w:t>
            </w:r>
          </w:p>
          <w:p w14:paraId="6C181419" w14:textId="77777777" w:rsidR="00F25001" w:rsidRPr="00A25C75" w:rsidRDefault="00F25001" w:rsidP="00A25C75">
            <w:pPr>
              <w:spacing w:after="120" w:line="276" w:lineRule="auto"/>
              <w:rPr>
                <w:rFonts w:cstheme="minorHAnsi"/>
                <w:i/>
                <w:iCs/>
              </w:rPr>
            </w:pPr>
          </w:p>
        </w:tc>
        <w:tc>
          <w:tcPr>
            <w:tcW w:w="10631" w:type="dxa"/>
          </w:tcPr>
          <w:p w14:paraId="72C7FEC9" w14:textId="23525F9C" w:rsidR="00F25001" w:rsidRPr="00024267" w:rsidRDefault="00CF7C2A" w:rsidP="0053700E">
            <w:pPr>
              <w:spacing w:before="100" w:beforeAutospacing="1"/>
              <w:rPr>
                <w:rFonts w:cstheme="minorHAnsi"/>
                <w:lang w:eastAsia="en-GB"/>
              </w:rPr>
            </w:pPr>
            <w:r w:rsidRPr="00024267">
              <w:rPr>
                <w:rFonts w:cstheme="minorHAnsi"/>
                <w:lang w:eastAsia="en-GB"/>
              </w:rPr>
              <w:t>If a provider is concerned about the volume or number of materials that have been requested, contact</w:t>
            </w:r>
            <w:r w:rsidRPr="00024267">
              <w:rPr>
                <w:rFonts w:cstheme="minorHAnsi"/>
                <w:color w:val="70AD47"/>
                <w:lang w:eastAsia="en-GB"/>
              </w:rPr>
              <w:t xml:space="preserve"> </w:t>
            </w:r>
            <w:hyperlink r:id="rId11" w:history="1">
              <w:r w:rsidRPr="00024267">
                <w:rPr>
                  <w:rStyle w:val="Hyperlink"/>
                  <w:rFonts w:cstheme="minorHAnsi"/>
                  <w:lang w:eastAsia="en-GB"/>
                </w:rPr>
                <w:t>ITT.providersupport@education.gov.uk</w:t>
              </w:r>
            </w:hyperlink>
            <w:r w:rsidRPr="00024267">
              <w:rPr>
                <w:rFonts w:cstheme="minorHAnsi"/>
                <w:color w:val="70AD47"/>
                <w:lang w:eastAsia="en-GB"/>
              </w:rPr>
              <w:t xml:space="preserve"> </w:t>
            </w:r>
            <w:r w:rsidRPr="00024267">
              <w:rPr>
                <w:rFonts w:cstheme="minorHAnsi"/>
                <w:lang w:eastAsia="en-GB"/>
              </w:rPr>
              <w:t>and we’ll be happy to discuss this.</w:t>
            </w:r>
          </w:p>
        </w:tc>
      </w:tr>
      <w:tr w:rsidR="00247D36" w:rsidRPr="00024267" w14:paraId="47CA7EAA" w14:textId="77777777" w:rsidTr="00247D36">
        <w:tc>
          <w:tcPr>
            <w:tcW w:w="1134" w:type="dxa"/>
          </w:tcPr>
          <w:p w14:paraId="274514B3" w14:textId="3FBDA691" w:rsidR="00F25001" w:rsidRPr="00024267" w:rsidRDefault="00AC693E" w:rsidP="00CF7C2A">
            <w:pPr>
              <w:spacing w:after="120" w:line="288" w:lineRule="auto"/>
              <w:rPr>
                <w:rFonts w:cstheme="minorHAnsi"/>
              </w:rPr>
            </w:pPr>
            <w:r w:rsidRPr="006150D7">
              <w:rPr>
                <w:rFonts w:cstheme="minorHAnsi"/>
              </w:rPr>
              <w:t>15</w:t>
            </w:r>
          </w:p>
        </w:tc>
        <w:tc>
          <w:tcPr>
            <w:tcW w:w="9782" w:type="dxa"/>
          </w:tcPr>
          <w:p w14:paraId="1199F36F" w14:textId="77777777" w:rsidR="00CF7C2A" w:rsidRPr="00A25C75" w:rsidRDefault="00CF7C2A" w:rsidP="00A25C75">
            <w:pPr>
              <w:spacing w:before="100" w:beforeAutospacing="1" w:line="276" w:lineRule="auto"/>
              <w:rPr>
                <w:rFonts w:eastAsia="Times New Roman" w:cstheme="minorHAnsi"/>
                <w:i/>
                <w:iCs/>
                <w:lang w:eastAsia="en-GB"/>
              </w:rPr>
            </w:pPr>
            <w:r w:rsidRPr="006150D7">
              <w:rPr>
                <w:rFonts w:eastAsia="Times New Roman" w:cstheme="minorHAnsi"/>
                <w:i/>
                <w:iCs/>
                <w:lang w:eastAsia="en-GB"/>
              </w:rPr>
              <w:t>Does the request for scripted materials imply that OfSTED, DfE and others will expect such materials to be available for all aspects of programmes in the future?</w:t>
            </w:r>
            <w:r w:rsidRPr="00A25C75">
              <w:rPr>
                <w:rFonts w:eastAsia="Times New Roman" w:cstheme="minorHAnsi"/>
                <w:i/>
                <w:iCs/>
                <w:lang w:eastAsia="en-GB"/>
              </w:rPr>
              <w:t xml:space="preserve"> It would not be practicable for scripts to be available for all aspects of a programme. Requests for significant amounts of information are placing additional workload burdens on ITE staff at a time when they are already under significant pressure. Account must be taken of the mental health and wellbeing of ITE staff, which has been put under huge pressure because of recent developments. </w:t>
            </w:r>
          </w:p>
          <w:p w14:paraId="2037D1B3" w14:textId="77777777" w:rsidR="00F25001" w:rsidRPr="00A25C75" w:rsidRDefault="00F25001" w:rsidP="00A25C75">
            <w:pPr>
              <w:spacing w:after="120" w:line="276" w:lineRule="auto"/>
              <w:rPr>
                <w:rFonts w:cstheme="minorHAnsi"/>
                <w:i/>
                <w:iCs/>
              </w:rPr>
            </w:pPr>
          </w:p>
        </w:tc>
        <w:tc>
          <w:tcPr>
            <w:tcW w:w="10631" w:type="dxa"/>
          </w:tcPr>
          <w:p w14:paraId="18747C1F" w14:textId="6A9396B1" w:rsidR="00F25001" w:rsidRPr="00024267" w:rsidRDefault="00CF7C2A" w:rsidP="00CF7C2A">
            <w:pPr>
              <w:spacing w:after="120" w:line="288" w:lineRule="auto"/>
              <w:rPr>
                <w:rFonts w:cstheme="minorHAnsi"/>
              </w:rPr>
            </w:pPr>
            <w:r w:rsidRPr="00024267">
              <w:rPr>
                <w:rFonts w:cstheme="minorHAnsi"/>
                <w:lang w:eastAsia="en-GB"/>
              </w:rPr>
              <w:t>No, the request for scripted materials does not imply that Ofsted, DfE and others will expect such materials to be available for all aspects of programmes in the future.</w:t>
            </w:r>
          </w:p>
        </w:tc>
      </w:tr>
      <w:tr w:rsidR="00247D36" w:rsidRPr="00024267" w14:paraId="49507B4E" w14:textId="77777777" w:rsidTr="00247D36">
        <w:tc>
          <w:tcPr>
            <w:tcW w:w="1134" w:type="dxa"/>
          </w:tcPr>
          <w:p w14:paraId="4E9BADAC" w14:textId="1A8BC775" w:rsidR="00F25001" w:rsidRPr="00024267" w:rsidRDefault="00CF7C2A" w:rsidP="00CF7C2A">
            <w:pPr>
              <w:spacing w:after="120" w:line="288" w:lineRule="auto"/>
              <w:rPr>
                <w:rFonts w:cstheme="minorHAnsi"/>
              </w:rPr>
            </w:pPr>
            <w:r w:rsidRPr="006150D7">
              <w:rPr>
                <w:rFonts w:cstheme="minorHAnsi"/>
              </w:rPr>
              <w:t>16</w:t>
            </w:r>
          </w:p>
        </w:tc>
        <w:tc>
          <w:tcPr>
            <w:tcW w:w="9782" w:type="dxa"/>
          </w:tcPr>
          <w:p w14:paraId="4562719B" w14:textId="7C55D1C3" w:rsidR="00F25001" w:rsidRPr="00A25C75" w:rsidRDefault="00CF7C2A" w:rsidP="00A25C75">
            <w:pPr>
              <w:spacing w:after="120" w:line="276" w:lineRule="auto"/>
              <w:rPr>
                <w:rFonts w:cstheme="minorHAnsi"/>
                <w:i/>
                <w:iCs/>
              </w:rPr>
            </w:pPr>
            <w:r w:rsidRPr="00A25C75">
              <w:rPr>
                <w:rFonts w:eastAsia="Times New Roman" w:cstheme="minorHAnsi"/>
                <w:i/>
                <w:iCs/>
                <w:lang w:eastAsia="en-GB"/>
              </w:rPr>
              <w:t xml:space="preserve">The level of detail requested in respect of school-based aspects of programme is causing some concerns amongst partner schools about the extra burdens they will face and could encourage some to reduce their placement offers or withdraw from ITE altogether. </w:t>
            </w:r>
            <w:r w:rsidRPr="006150D7">
              <w:rPr>
                <w:rFonts w:eastAsia="Times New Roman" w:cstheme="minorHAnsi"/>
                <w:i/>
                <w:iCs/>
                <w:lang w:eastAsia="en-GB"/>
              </w:rPr>
              <w:t>What guidance can DfE give to prevent this from happening?</w:t>
            </w:r>
            <w:r w:rsidRPr="00A25C75">
              <w:rPr>
                <w:rFonts w:eastAsia="Times New Roman" w:cstheme="minorHAnsi"/>
                <w:i/>
                <w:iCs/>
                <w:lang w:eastAsia="en-GB"/>
              </w:rPr>
              <w:t xml:space="preserve"> It is not enough simply to ask that ITE providers make sure that pressures on school are kept "manageable". DfE has a responsibility to make sure this is achievable. The pressures that schools are facing (e.g.  with staffing shortages, ECF demands on mentoring capacity, and the expectation for schools to release their ITE mentors for 20hrs of ITT training) might well mean that many simply walk away from ITE.</w:t>
            </w:r>
          </w:p>
        </w:tc>
        <w:tc>
          <w:tcPr>
            <w:tcW w:w="10631" w:type="dxa"/>
          </w:tcPr>
          <w:p w14:paraId="2CF88848" w14:textId="77777777" w:rsidR="00CF7C2A" w:rsidRPr="00024267" w:rsidRDefault="00CF7C2A" w:rsidP="00CF7C2A">
            <w:pPr>
              <w:spacing w:before="100" w:beforeAutospacing="1"/>
              <w:rPr>
                <w:rFonts w:cstheme="minorHAnsi"/>
                <w:lang w:eastAsia="en-GB"/>
              </w:rPr>
            </w:pPr>
            <w:r w:rsidRPr="00024267">
              <w:rPr>
                <w:rFonts w:cstheme="minorHAnsi"/>
                <w:lang w:eastAsia="en-GB"/>
              </w:rPr>
              <w:t xml:space="preserve">The purpose of requesting school-based materials is not to create more burdens on partner schools. It’s actually the opposite, as we want to see how the accredited provider is making sure that the practice and reflection which occurs on the placement under the direction of the mentor is purposeful and carefully sequenced in relation to the centre-based sessions. </w:t>
            </w:r>
          </w:p>
          <w:p w14:paraId="6CAD2424" w14:textId="77777777" w:rsidR="00F25001" w:rsidRPr="00024267" w:rsidRDefault="00F25001" w:rsidP="00CF7C2A">
            <w:pPr>
              <w:spacing w:after="120" w:line="288" w:lineRule="auto"/>
              <w:rPr>
                <w:rFonts w:cstheme="minorHAnsi"/>
              </w:rPr>
            </w:pPr>
          </w:p>
        </w:tc>
      </w:tr>
      <w:tr w:rsidR="00247D36" w:rsidRPr="00024267" w14:paraId="2262A1DA" w14:textId="77777777" w:rsidTr="00247D36">
        <w:tc>
          <w:tcPr>
            <w:tcW w:w="1134" w:type="dxa"/>
          </w:tcPr>
          <w:p w14:paraId="2F972D7D" w14:textId="74BC9B4D" w:rsidR="00F25001" w:rsidRPr="00024267" w:rsidRDefault="00CF7C2A" w:rsidP="00CF7C2A">
            <w:pPr>
              <w:spacing w:after="120" w:line="288" w:lineRule="auto"/>
              <w:rPr>
                <w:rFonts w:cstheme="minorHAnsi"/>
              </w:rPr>
            </w:pPr>
            <w:r w:rsidRPr="00024267">
              <w:rPr>
                <w:rFonts w:cstheme="minorHAnsi"/>
              </w:rPr>
              <w:t>17</w:t>
            </w:r>
          </w:p>
        </w:tc>
        <w:tc>
          <w:tcPr>
            <w:tcW w:w="9782" w:type="dxa"/>
          </w:tcPr>
          <w:p w14:paraId="55B8D931" w14:textId="37CCDB45" w:rsidR="00F25001" w:rsidRPr="00A25C75" w:rsidRDefault="00CF7C2A" w:rsidP="00A25C75">
            <w:pPr>
              <w:spacing w:before="100" w:beforeAutospacing="1" w:after="120" w:line="276" w:lineRule="auto"/>
              <w:rPr>
                <w:rFonts w:eastAsia="Times New Roman" w:cstheme="minorHAnsi"/>
                <w:i/>
                <w:iCs/>
                <w:lang w:eastAsia="en-GB"/>
              </w:rPr>
            </w:pPr>
            <w:r w:rsidRPr="006150D7">
              <w:rPr>
                <w:rFonts w:eastAsia="Times New Roman" w:cstheme="minorHAnsi"/>
                <w:i/>
                <w:iCs/>
                <w:lang w:eastAsia="en-GB"/>
              </w:rPr>
              <w:t>Will eligibility for teachers to access Postgraduate Loans be relaxed so that they are able to borrow money sufficient to cover only the costs of master’s level mentor training programmes that have fewer credits than the 180 required for a full master’s?</w:t>
            </w:r>
          </w:p>
        </w:tc>
        <w:tc>
          <w:tcPr>
            <w:tcW w:w="10631" w:type="dxa"/>
          </w:tcPr>
          <w:p w14:paraId="3D5A3DAC" w14:textId="7566DF14" w:rsidR="00F25001" w:rsidRPr="00024267" w:rsidRDefault="00DD66D5" w:rsidP="00CF7C2A">
            <w:pPr>
              <w:spacing w:after="120" w:line="288" w:lineRule="auto"/>
              <w:rPr>
                <w:rFonts w:cstheme="minorHAnsi"/>
              </w:rPr>
            </w:pPr>
            <w:r w:rsidRPr="00055470">
              <w:rPr>
                <w:rFonts w:cstheme="minorHAnsi"/>
                <w:highlight w:val="yellow"/>
              </w:rPr>
              <w:t>Please can they explain what is meant by this</w:t>
            </w:r>
            <w:r w:rsidR="00792ACD" w:rsidRPr="00055470">
              <w:rPr>
                <w:rFonts w:cstheme="minorHAnsi"/>
                <w:highlight w:val="yellow"/>
              </w:rPr>
              <w:t xml:space="preserve"> – for example</w:t>
            </w:r>
            <w:r w:rsidRPr="00055470">
              <w:rPr>
                <w:rFonts w:cstheme="minorHAnsi"/>
                <w:highlight w:val="yellow"/>
              </w:rPr>
              <w:t xml:space="preserve"> what courses are they referring to</w:t>
            </w:r>
            <w:r w:rsidR="00A624D6" w:rsidRPr="00055470">
              <w:rPr>
                <w:rFonts w:cstheme="minorHAnsi"/>
                <w:highlight w:val="yellow"/>
              </w:rPr>
              <w:t xml:space="preserve"> and </w:t>
            </w:r>
            <w:r w:rsidR="00792ACD" w:rsidRPr="00055470">
              <w:rPr>
                <w:rFonts w:cstheme="minorHAnsi"/>
                <w:highlight w:val="yellow"/>
              </w:rPr>
              <w:t>does this</w:t>
            </w:r>
            <w:r w:rsidR="00A624D6" w:rsidRPr="00055470">
              <w:rPr>
                <w:rFonts w:cstheme="minorHAnsi"/>
                <w:highlight w:val="yellow"/>
              </w:rPr>
              <w:t xml:space="preserve"> relate to QTS courses</w:t>
            </w:r>
            <w:r w:rsidRPr="00055470">
              <w:rPr>
                <w:rFonts w:cstheme="minorHAnsi"/>
                <w:highlight w:val="yellow"/>
              </w:rPr>
              <w:t>? Are these HEI-run mentor training courses run as MA qualifications</w:t>
            </w:r>
            <w:r w:rsidR="00F03C82" w:rsidRPr="00055470">
              <w:rPr>
                <w:rFonts w:cstheme="minorHAnsi"/>
                <w:highlight w:val="yellow"/>
              </w:rPr>
              <w:t xml:space="preserve"> etc</w:t>
            </w:r>
            <w:r w:rsidRPr="00055470">
              <w:rPr>
                <w:rFonts w:cstheme="minorHAnsi"/>
                <w:highlight w:val="yellow"/>
              </w:rPr>
              <w:t>?</w:t>
            </w:r>
          </w:p>
          <w:p w14:paraId="2F712344" w14:textId="079B8C6D" w:rsidR="006F1FD5" w:rsidRPr="00024267" w:rsidRDefault="006F1FD5" w:rsidP="00CF7C2A">
            <w:pPr>
              <w:spacing w:after="120" w:line="288" w:lineRule="auto"/>
              <w:rPr>
                <w:rFonts w:cstheme="minorHAnsi"/>
              </w:rPr>
            </w:pPr>
          </w:p>
        </w:tc>
      </w:tr>
      <w:tr w:rsidR="00247D36" w:rsidRPr="00CF7C2A" w14:paraId="79EF6117" w14:textId="77777777" w:rsidTr="00247D36">
        <w:tc>
          <w:tcPr>
            <w:tcW w:w="1134" w:type="dxa"/>
          </w:tcPr>
          <w:p w14:paraId="3CE7D9E0" w14:textId="507FCEFA" w:rsidR="00F25001" w:rsidRPr="00024267" w:rsidRDefault="00CF7C2A" w:rsidP="00CF7C2A">
            <w:pPr>
              <w:spacing w:after="120" w:line="288" w:lineRule="auto"/>
              <w:rPr>
                <w:rFonts w:cstheme="minorHAnsi"/>
              </w:rPr>
            </w:pPr>
            <w:r w:rsidRPr="00024267">
              <w:rPr>
                <w:rFonts w:cstheme="minorHAnsi"/>
              </w:rPr>
              <w:t>18</w:t>
            </w:r>
          </w:p>
        </w:tc>
        <w:tc>
          <w:tcPr>
            <w:tcW w:w="9782" w:type="dxa"/>
          </w:tcPr>
          <w:p w14:paraId="3B18945A" w14:textId="77777777" w:rsidR="00CF7C2A" w:rsidRPr="00A25C75" w:rsidRDefault="00CF7C2A" w:rsidP="00A25C75">
            <w:pPr>
              <w:spacing w:before="100" w:beforeAutospacing="1" w:line="276" w:lineRule="auto"/>
              <w:rPr>
                <w:rFonts w:eastAsia="Times New Roman" w:cstheme="minorHAnsi"/>
                <w:i/>
                <w:iCs/>
                <w:lang w:eastAsia="en-GB"/>
              </w:rPr>
            </w:pPr>
            <w:r w:rsidRPr="006150D7">
              <w:rPr>
                <w:rFonts w:eastAsia="Times New Roman" w:cstheme="minorHAnsi"/>
                <w:i/>
                <w:iCs/>
                <w:lang w:eastAsia="en-GB"/>
              </w:rPr>
              <w:t>Will DfE consider producing either national or regional registers of lead and general mentors that have undertaken the required training</w:t>
            </w:r>
            <w:r w:rsidRPr="00A25C75">
              <w:rPr>
                <w:rFonts w:eastAsia="Times New Roman" w:cstheme="minorHAnsi"/>
                <w:i/>
                <w:iCs/>
                <w:lang w:eastAsia="en-GB"/>
              </w:rPr>
              <w:t xml:space="preserve"> to: (a) allow DfE to ensure that public funds have been properly spent; and (b) allow all ITE providers and partner schools to track the training of mentors moving from one school/ITE provider to another? For example, </w:t>
            </w:r>
            <w:r w:rsidRPr="006150D7">
              <w:rPr>
                <w:rFonts w:eastAsia="Times New Roman" w:cstheme="minorHAnsi"/>
                <w:i/>
                <w:iCs/>
                <w:lang w:eastAsia="en-GB"/>
              </w:rPr>
              <w:t>if a teacher trains with one provider for 20hrs then moves across the country to become a mentor in another partnership do they have to repeat all mentor training, over and above what will be required to update them with specifics about the new ITE providers curriculum?</w:t>
            </w:r>
            <w:r w:rsidRPr="00A25C75">
              <w:rPr>
                <w:rFonts w:eastAsia="Times New Roman" w:cstheme="minorHAnsi"/>
                <w:i/>
                <w:iCs/>
                <w:lang w:eastAsia="en-GB"/>
              </w:rPr>
              <w:t xml:space="preserve"> </w:t>
            </w:r>
            <w:r w:rsidRPr="006150D7">
              <w:rPr>
                <w:rFonts w:eastAsia="Times New Roman" w:cstheme="minorHAnsi"/>
                <w:i/>
                <w:iCs/>
                <w:lang w:eastAsia="en-GB"/>
              </w:rPr>
              <w:t>Could there be a national database recording which mentors have done what?</w:t>
            </w:r>
            <w:r w:rsidRPr="00A25C75">
              <w:rPr>
                <w:rFonts w:eastAsia="Times New Roman" w:cstheme="minorHAnsi"/>
                <w:i/>
                <w:iCs/>
                <w:lang w:eastAsia="en-GB"/>
              </w:rPr>
              <w:t xml:space="preserve">  </w:t>
            </w:r>
          </w:p>
          <w:p w14:paraId="259E2A43" w14:textId="77777777" w:rsidR="00F25001" w:rsidRPr="00A25C75" w:rsidRDefault="00F25001" w:rsidP="00A25C75">
            <w:pPr>
              <w:spacing w:after="120" w:line="276" w:lineRule="auto"/>
              <w:rPr>
                <w:rFonts w:cstheme="minorHAnsi"/>
                <w:i/>
                <w:iCs/>
              </w:rPr>
            </w:pPr>
          </w:p>
        </w:tc>
        <w:tc>
          <w:tcPr>
            <w:tcW w:w="10631" w:type="dxa"/>
          </w:tcPr>
          <w:p w14:paraId="068172FD" w14:textId="35E0B265" w:rsidR="00167C42" w:rsidRPr="00024267" w:rsidRDefault="00F31E8E" w:rsidP="00CF7C2A">
            <w:pPr>
              <w:spacing w:after="120" w:line="288" w:lineRule="auto"/>
              <w:rPr>
                <w:rFonts w:cstheme="minorHAnsi"/>
              </w:rPr>
            </w:pPr>
            <w:r w:rsidRPr="00024267">
              <w:rPr>
                <w:rFonts w:cstheme="minorHAnsi"/>
              </w:rPr>
              <w:t xml:space="preserve">Each ITT provider must design high-quality mentor and lead mentor training curricula in line with the minimum time requirements. The curricula for mentor and lead mentor training should be closely aligned with the </w:t>
            </w:r>
            <w:r w:rsidR="0080287B" w:rsidRPr="00024267">
              <w:rPr>
                <w:rFonts w:cstheme="minorHAnsi"/>
              </w:rPr>
              <w:t xml:space="preserve">ITT </w:t>
            </w:r>
            <w:r w:rsidRPr="00024267">
              <w:rPr>
                <w:rFonts w:cstheme="minorHAnsi"/>
              </w:rPr>
              <w:t>curriculum</w:t>
            </w:r>
            <w:r w:rsidR="0080287B" w:rsidRPr="00024267">
              <w:rPr>
                <w:rFonts w:cstheme="minorHAnsi"/>
              </w:rPr>
              <w:t xml:space="preserve"> which they will be delivering</w:t>
            </w:r>
            <w:r w:rsidRPr="00024267">
              <w:rPr>
                <w:rFonts w:cstheme="minorHAnsi"/>
              </w:rPr>
              <w:t>. It is for each provider to determine in what way this is achieved. Mentors who have</w:t>
            </w:r>
            <w:r w:rsidR="00145882" w:rsidRPr="00024267">
              <w:rPr>
                <w:rFonts w:cstheme="minorHAnsi"/>
              </w:rPr>
              <w:t xml:space="preserve"> prior ITT mentor training</w:t>
            </w:r>
            <w:r w:rsidR="002E6489" w:rsidRPr="00024267">
              <w:rPr>
                <w:rFonts w:cstheme="minorHAnsi"/>
              </w:rPr>
              <w:t xml:space="preserve"> </w:t>
            </w:r>
            <w:r w:rsidR="00825C2E" w:rsidRPr="00024267">
              <w:rPr>
                <w:rFonts w:cstheme="minorHAnsi"/>
              </w:rPr>
              <w:t xml:space="preserve">may have relevant prior learning </w:t>
            </w:r>
            <w:r w:rsidR="00167C42" w:rsidRPr="00024267">
              <w:rPr>
                <w:rFonts w:cstheme="minorHAnsi"/>
              </w:rPr>
              <w:t>which can be taken into account so that mentor training is not repeated. Additionally, mentors who have</w:t>
            </w:r>
            <w:r w:rsidRPr="00024267">
              <w:rPr>
                <w:rFonts w:cstheme="minorHAnsi"/>
              </w:rPr>
              <w:t xml:space="preserve"> been trained to support early career teachers as part of the ECF will have relevant prior knowledge which will provide a strong foundation for being an ITT mentor. </w:t>
            </w:r>
          </w:p>
          <w:p w14:paraId="31DFF4CB" w14:textId="08289214" w:rsidR="00F31E8E" w:rsidRPr="00024267" w:rsidRDefault="00F31E8E" w:rsidP="00CF7C2A">
            <w:pPr>
              <w:spacing w:after="120" w:line="288" w:lineRule="auto"/>
              <w:rPr>
                <w:rFonts w:cstheme="minorHAnsi"/>
              </w:rPr>
            </w:pPr>
            <w:r w:rsidRPr="00024267">
              <w:rPr>
                <w:rFonts w:cstheme="minorHAnsi"/>
              </w:rPr>
              <w:t xml:space="preserve">Whilst we are clear that prior learning should be taken into account so that ITT mentor training is not repeated, ITT mentor training will need to support consolidation and contextualisation of this </w:t>
            </w:r>
            <w:r w:rsidRPr="00024267">
              <w:rPr>
                <w:rFonts w:cstheme="minorHAnsi"/>
              </w:rPr>
              <w:lastRenderedPageBreak/>
              <w:t xml:space="preserve">prior knowledge so that mentors are able to provide high-quality mentoring for ITT trainees who are </w:t>
            </w:r>
            <w:r w:rsidR="00167C42" w:rsidRPr="00024267">
              <w:rPr>
                <w:rFonts w:cstheme="minorHAnsi"/>
              </w:rPr>
              <w:t xml:space="preserve">following </w:t>
            </w:r>
            <w:r w:rsidRPr="00024267">
              <w:rPr>
                <w:rFonts w:cstheme="minorHAnsi"/>
              </w:rPr>
              <w:t xml:space="preserve">a different </w:t>
            </w:r>
            <w:r w:rsidR="00167C42" w:rsidRPr="00024267">
              <w:rPr>
                <w:rFonts w:cstheme="minorHAnsi"/>
              </w:rPr>
              <w:t xml:space="preserve">ITT </w:t>
            </w:r>
            <w:r w:rsidRPr="00024267">
              <w:rPr>
                <w:rFonts w:cstheme="minorHAnsi"/>
              </w:rPr>
              <w:t>curriculum and are at different stages in their development.</w:t>
            </w:r>
          </w:p>
          <w:p w14:paraId="3FC8158C" w14:textId="1778C463" w:rsidR="00F25001" w:rsidRPr="00A624D6" w:rsidRDefault="00AC1E12" w:rsidP="00CF7C2A">
            <w:pPr>
              <w:spacing w:after="120" w:line="288" w:lineRule="auto"/>
              <w:rPr>
                <w:rFonts w:cstheme="minorHAnsi"/>
              </w:rPr>
            </w:pPr>
            <w:r w:rsidRPr="00024267">
              <w:rPr>
                <w:rFonts w:cstheme="minorHAnsi"/>
              </w:rPr>
              <w:t>DfE recognises the important role mentors play in our ECF and ITT reforms.  We are exploring how we can better support mentor capacity in the system via a number of workstrands, including data collection, communication of benefits, recognition of training undertaken, and identifying how we can facilitate providers taking prior learning of ECF mentor training into account for ITT mentor training. We will provide further guidance to providers in summer 2023.</w:t>
            </w:r>
          </w:p>
        </w:tc>
      </w:tr>
    </w:tbl>
    <w:p w14:paraId="6B760DE8" w14:textId="77777777" w:rsidR="00F25001" w:rsidRDefault="00F25001" w:rsidP="00F25001">
      <w:pPr>
        <w:rPr>
          <w:i/>
          <w:iCs/>
        </w:rPr>
      </w:pPr>
    </w:p>
    <w:p w14:paraId="4900DC14" w14:textId="77777777" w:rsidR="00F25001" w:rsidRDefault="00F25001" w:rsidP="00F25001">
      <w:pPr>
        <w:rPr>
          <w:i/>
          <w:iCs/>
        </w:rPr>
      </w:pPr>
    </w:p>
    <w:p w14:paraId="4107BEBC" w14:textId="76C6B1AD" w:rsidR="00F25001" w:rsidRDefault="00F25001" w:rsidP="00F25001">
      <w:pPr>
        <w:rPr>
          <w:i/>
          <w:iCs/>
        </w:rPr>
      </w:pPr>
      <w:r>
        <w:rPr>
          <w:i/>
          <w:iCs/>
        </w:rPr>
        <w:t> </w:t>
      </w:r>
    </w:p>
    <w:p w14:paraId="76C980FA" w14:textId="77777777" w:rsidR="00F25001" w:rsidRDefault="00F25001"/>
    <w:p w14:paraId="0389278D" w14:textId="77777777" w:rsidR="00F25001" w:rsidRDefault="00F25001"/>
    <w:sectPr w:rsidR="00F25001" w:rsidSect="00F25001">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017"/>
    <w:multiLevelType w:val="multilevel"/>
    <w:tmpl w:val="C05E7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405DE"/>
    <w:multiLevelType w:val="multilevel"/>
    <w:tmpl w:val="F560219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42EE6CD3"/>
    <w:multiLevelType w:val="multilevel"/>
    <w:tmpl w:val="59F8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3D6011"/>
    <w:multiLevelType w:val="multilevel"/>
    <w:tmpl w:val="4FF28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7DC6226"/>
    <w:multiLevelType w:val="hybridMultilevel"/>
    <w:tmpl w:val="0E7870DC"/>
    <w:lvl w:ilvl="0" w:tplc="75E8A6D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466F96"/>
    <w:multiLevelType w:val="multilevel"/>
    <w:tmpl w:val="4A54C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00974638">
    <w:abstractNumId w:val="4"/>
  </w:num>
  <w:num w:numId="2" w16cid:durableId="1774855622">
    <w:abstractNumId w:val="7"/>
  </w:num>
  <w:num w:numId="3" w16cid:durableId="1767726242">
    <w:abstractNumId w:val="0"/>
  </w:num>
  <w:num w:numId="4" w16cid:durableId="2038919369">
    <w:abstractNumId w:val="1"/>
  </w:num>
  <w:num w:numId="5" w16cid:durableId="408188147">
    <w:abstractNumId w:val="2"/>
  </w:num>
  <w:num w:numId="6" w16cid:durableId="1921871017">
    <w:abstractNumId w:val="6"/>
  </w:num>
  <w:num w:numId="7" w16cid:durableId="2011904794">
    <w:abstractNumId w:val="5"/>
  </w:num>
  <w:num w:numId="8" w16cid:durableId="1858502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01"/>
    <w:rsid w:val="00002E12"/>
    <w:rsid w:val="000208BC"/>
    <w:rsid w:val="00024267"/>
    <w:rsid w:val="00055470"/>
    <w:rsid w:val="0005676D"/>
    <w:rsid w:val="00056CC1"/>
    <w:rsid w:val="00060373"/>
    <w:rsid w:val="000653B3"/>
    <w:rsid w:val="000968EE"/>
    <w:rsid w:val="000D15D2"/>
    <w:rsid w:val="001136E1"/>
    <w:rsid w:val="00115DE4"/>
    <w:rsid w:val="00117347"/>
    <w:rsid w:val="00117779"/>
    <w:rsid w:val="001178FF"/>
    <w:rsid w:val="001249E7"/>
    <w:rsid w:val="00124EB4"/>
    <w:rsid w:val="00133B55"/>
    <w:rsid w:val="00136676"/>
    <w:rsid w:val="00140551"/>
    <w:rsid w:val="00145882"/>
    <w:rsid w:val="001469F5"/>
    <w:rsid w:val="00152194"/>
    <w:rsid w:val="00154C08"/>
    <w:rsid w:val="00155DC2"/>
    <w:rsid w:val="00167C42"/>
    <w:rsid w:val="001B3344"/>
    <w:rsid w:val="001C3C33"/>
    <w:rsid w:val="001D3D1F"/>
    <w:rsid w:val="0020763C"/>
    <w:rsid w:val="00210069"/>
    <w:rsid w:val="0023039E"/>
    <w:rsid w:val="0024108F"/>
    <w:rsid w:val="002414CE"/>
    <w:rsid w:val="00247D36"/>
    <w:rsid w:val="00253EC1"/>
    <w:rsid w:val="00271811"/>
    <w:rsid w:val="0027279F"/>
    <w:rsid w:val="0029157A"/>
    <w:rsid w:val="002B5A80"/>
    <w:rsid w:val="002C1384"/>
    <w:rsid w:val="002C547C"/>
    <w:rsid w:val="002D22BB"/>
    <w:rsid w:val="002E6489"/>
    <w:rsid w:val="002F75F3"/>
    <w:rsid w:val="00311E57"/>
    <w:rsid w:val="00322182"/>
    <w:rsid w:val="00330DD3"/>
    <w:rsid w:val="003623AE"/>
    <w:rsid w:val="00387C81"/>
    <w:rsid w:val="00397A03"/>
    <w:rsid w:val="003A0F33"/>
    <w:rsid w:val="003B30F8"/>
    <w:rsid w:val="003C62E6"/>
    <w:rsid w:val="003D3D4C"/>
    <w:rsid w:val="003E69C6"/>
    <w:rsid w:val="003E74B7"/>
    <w:rsid w:val="003F43A4"/>
    <w:rsid w:val="003F58E8"/>
    <w:rsid w:val="00403A92"/>
    <w:rsid w:val="00426FE8"/>
    <w:rsid w:val="004307C1"/>
    <w:rsid w:val="004406D3"/>
    <w:rsid w:val="00442666"/>
    <w:rsid w:val="00460611"/>
    <w:rsid w:val="00473B29"/>
    <w:rsid w:val="004A0279"/>
    <w:rsid w:val="004C4A57"/>
    <w:rsid w:val="004C6AD9"/>
    <w:rsid w:val="004D7863"/>
    <w:rsid w:val="004E2AAE"/>
    <w:rsid w:val="004E30A0"/>
    <w:rsid w:val="004E4978"/>
    <w:rsid w:val="004E7D73"/>
    <w:rsid w:val="004F0EAB"/>
    <w:rsid w:val="0050217B"/>
    <w:rsid w:val="0051787A"/>
    <w:rsid w:val="005222D8"/>
    <w:rsid w:val="00523094"/>
    <w:rsid w:val="0053700E"/>
    <w:rsid w:val="005377D9"/>
    <w:rsid w:val="0054195B"/>
    <w:rsid w:val="005451CB"/>
    <w:rsid w:val="00547DF6"/>
    <w:rsid w:val="005531DF"/>
    <w:rsid w:val="00555AC8"/>
    <w:rsid w:val="00560700"/>
    <w:rsid w:val="00573F94"/>
    <w:rsid w:val="00580155"/>
    <w:rsid w:val="00590DFC"/>
    <w:rsid w:val="00591A6F"/>
    <w:rsid w:val="00593095"/>
    <w:rsid w:val="0059688B"/>
    <w:rsid w:val="005B64C9"/>
    <w:rsid w:val="005C338F"/>
    <w:rsid w:val="005C65DE"/>
    <w:rsid w:val="005D130A"/>
    <w:rsid w:val="005F70DE"/>
    <w:rsid w:val="006040DD"/>
    <w:rsid w:val="006150D7"/>
    <w:rsid w:val="0061774C"/>
    <w:rsid w:val="00620FE4"/>
    <w:rsid w:val="00631204"/>
    <w:rsid w:val="006317C4"/>
    <w:rsid w:val="0063746E"/>
    <w:rsid w:val="00651051"/>
    <w:rsid w:val="0065370B"/>
    <w:rsid w:val="0065442A"/>
    <w:rsid w:val="006829CF"/>
    <w:rsid w:val="006879AF"/>
    <w:rsid w:val="00690D3B"/>
    <w:rsid w:val="00692621"/>
    <w:rsid w:val="006B5336"/>
    <w:rsid w:val="006C1838"/>
    <w:rsid w:val="006D35DF"/>
    <w:rsid w:val="006E15C1"/>
    <w:rsid w:val="006E5179"/>
    <w:rsid w:val="006F1FD5"/>
    <w:rsid w:val="006F4A9E"/>
    <w:rsid w:val="00707BC7"/>
    <w:rsid w:val="00730BA9"/>
    <w:rsid w:val="00741B7D"/>
    <w:rsid w:val="00743C3C"/>
    <w:rsid w:val="00747841"/>
    <w:rsid w:val="00752739"/>
    <w:rsid w:val="0076541D"/>
    <w:rsid w:val="00782ECD"/>
    <w:rsid w:val="00790397"/>
    <w:rsid w:val="00792ACD"/>
    <w:rsid w:val="007A23A8"/>
    <w:rsid w:val="007A69EE"/>
    <w:rsid w:val="007C009E"/>
    <w:rsid w:val="007C6331"/>
    <w:rsid w:val="007E0A5B"/>
    <w:rsid w:val="007E4F79"/>
    <w:rsid w:val="007F2705"/>
    <w:rsid w:val="007F756A"/>
    <w:rsid w:val="00800205"/>
    <w:rsid w:val="00802369"/>
    <w:rsid w:val="0080287B"/>
    <w:rsid w:val="00811087"/>
    <w:rsid w:val="00825C2E"/>
    <w:rsid w:val="00834213"/>
    <w:rsid w:val="00834613"/>
    <w:rsid w:val="0085027A"/>
    <w:rsid w:val="00856F8F"/>
    <w:rsid w:val="0086317C"/>
    <w:rsid w:val="008A0B06"/>
    <w:rsid w:val="008A0C05"/>
    <w:rsid w:val="008C42F7"/>
    <w:rsid w:val="008C639B"/>
    <w:rsid w:val="008D0C15"/>
    <w:rsid w:val="008D3AF4"/>
    <w:rsid w:val="0090619C"/>
    <w:rsid w:val="0093574C"/>
    <w:rsid w:val="0095083D"/>
    <w:rsid w:val="00950849"/>
    <w:rsid w:val="009828A5"/>
    <w:rsid w:val="009A5042"/>
    <w:rsid w:val="009A7D5D"/>
    <w:rsid w:val="009D1F5B"/>
    <w:rsid w:val="009E083B"/>
    <w:rsid w:val="009E20D8"/>
    <w:rsid w:val="009E5BCA"/>
    <w:rsid w:val="009F0BE2"/>
    <w:rsid w:val="009F3ECF"/>
    <w:rsid w:val="00A02EB1"/>
    <w:rsid w:val="00A0524D"/>
    <w:rsid w:val="00A05F1B"/>
    <w:rsid w:val="00A2505F"/>
    <w:rsid w:val="00A25C75"/>
    <w:rsid w:val="00A27FD5"/>
    <w:rsid w:val="00A61E39"/>
    <w:rsid w:val="00A624D6"/>
    <w:rsid w:val="00A62A1B"/>
    <w:rsid w:val="00A831C1"/>
    <w:rsid w:val="00AA6087"/>
    <w:rsid w:val="00AC1E12"/>
    <w:rsid w:val="00AC693E"/>
    <w:rsid w:val="00AD2D64"/>
    <w:rsid w:val="00AD341E"/>
    <w:rsid w:val="00AE67F3"/>
    <w:rsid w:val="00B11DE2"/>
    <w:rsid w:val="00B12640"/>
    <w:rsid w:val="00B43CA6"/>
    <w:rsid w:val="00B52F70"/>
    <w:rsid w:val="00B53713"/>
    <w:rsid w:val="00B77543"/>
    <w:rsid w:val="00B77B8D"/>
    <w:rsid w:val="00B83D55"/>
    <w:rsid w:val="00BB7A8D"/>
    <w:rsid w:val="00BD72A6"/>
    <w:rsid w:val="00BF0805"/>
    <w:rsid w:val="00C0627B"/>
    <w:rsid w:val="00C124D1"/>
    <w:rsid w:val="00C168BD"/>
    <w:rsid w:val="00C43AAA"/>
    <w:rsid w:val="00C4689D"/>
    <w:rsid w:val="00C60F3B"/>
    <w:rsid w:val="00C6611F"/>
    <w:rsid w:val="00C908F0"/>
    <w:rsid w:val="00C90ED5"/>
    <w:rsid w:val="00CA4AD8"/>
    <w:rsid w:val="00CA7B1B"/>
    <w:rsid w:val="00CB48DD"/>
    <w:rsid w:val="00CB540C"/>
    <w:rsid w:val="00CB67A2"/>
    <w:rsid w:val="00CB7E02"/>
    <w:rsid w:val="00CC442E"/>
    <w:rsid w:val="00CC5D06"/>
    <w:rsid w:val="00CF40AD"/>
    <w:rsid w:val="00CF49AA"/>
    <w:rsid w:val="00CF7C2A"/>
    <w:rsid w:val="00D05D4F"/>
    <w:rsid w:val="00D16BDE"/>
    <w:rsid w:val="00D21DE8"/>
    <w:rsid w:val="00D30D09"/>
    <w:rsid w:val="00D45562"/>
    <w:rsid w:val="00D466B9"/>
    <w:rsid w:val="00D51A8A"/>
    <w:rsid w:val="00D6423B"/>
    <w:rsid w:val="00D7298C"/>
    <w:rsid w:val="00D9096A"/>
    <w:rsid w:val="00DB5990"/>
    <w:rsid w:val="00DC51DB"/>
    <w:rsid w:val="00DD66D5"/>
    <w:rsid w:val="00DE3F40"/>
    <w:rsid w:val="00E13CBE"/>
    <w:rsid w:val="00E26B45"/>
    <w:rsid w:val="00E46E4B"/>
    <w:rsid w:val="00E54EE9"/>
    <w:rsid w:val="00E56C21"/>
    <w:rsid w:val="00E61626"/>
    <w:rsid w:val="00E7198D"/>
    <w:rsid w:val="00E900B1"/>
    <w:rsid w:val="00EB0232"/>
    <w:rsid w:val="00EB29A7"/>
    <w:rsid w:val="00EB3133"/>
    <w:rsid w:val="00EB7FC0"/>
    <w:rsid w:val="00EC1A15"/>
    <w:rsid w:val="00ED64D9"/>
    <w:rsid w:val="00EF1C52"/>
    <w:rsid w:val="00EF3512"/>
    <w:rsid w:val="00F02D78"/>
    <w:rsid w:val="00F0332F"/>
    <w:rsid w:val="00F03C82"/>
    <w:rsid w:val="00F0643D"/>
    <w:rsid w:val="00F1219C"/>
    <w:rsid w:val="00F1634F"/>
    <w:rsid w:val="00F23B83"/>
    <w:rsid w:val="00F25001"/>
    <w:rsid w:val="00F31E8E"/>
    <w:rsid w:val="00F331E9"/>
    <w:rsid w:val="00F34839"/>
    <w:rsid w:val="00F34D5D"/>
    <w:rsid w:val="00F517C4"/>
    <w:rsid w:val="00F5209D"/>
    <w:rsid w:val="00F66B85"/>
    <w:rsid w:val="00F72430"/>
    <w:rsid w:val="00F917BD"/>
    <w:rsid w:val="00F91AE8"/>
    <w:rsid w:val="00F927BC"/>
    <w:rsid w:val="00F96A7E"/>
    <w:rsid w:val="00FA412C"/>
    <w:rsid w:val="00FA4792"/>
    <w:rsid w:val="00FE7FBF"/>
    <w:rsid w:val="03DAAA86"/>
    <w:rsid w:val="046C2048"/>
    <w:rsid w:val="05FE0AE5"/>
    <w:rsid w:val="09380987"/>
    <w:rsid w:val="0B53AF31"/>
    <w:rsid w:val="0E3CCE4A"/>
    <w:rsid w:val="0F6E3232"/>
    <w:rsid w:val="0FA64EEC"/>
    <w:rsid w:val="1356D48B"/>
    <w:rsid w:val="13E47D19"/>
    <w:rsid w:val="15EEEBE2"/>
    <w:rsid w:val="189C074E"/>
    <w:rsid w:val="1A75DE32"/>
    <w:rsid w:val="1CAB5EB3"/>
    <w:rsid w:val="1FCFB063"/>
    <w:rsid w:val="22A9BBBE"/>
    <w:rsid w:val="241E369A"/>
    <w:rsid w:val="2683515E"/>
    <w:rsid w:val="2CD7CC56"/>
    <w:rsid w:val="2EA5C538"/>
    <w:rsid w:val="2FC57EF6"/>
    <w:rsid w:val="329B41C6"/>
    <w:rsid w:val="32F864F3"/>
    <w:rsid w:val="383D97B6"/>
    <w:rsid w:val="389792BA"/>
    <w:rsid w:val="3C65C9AC"/>
    <w:rsid w:val="3DB0BE26"/>
    <w:rsid w:val="3DC7F439"/>
    <w:rsid w:val="3E9E60EA"/>
    <w:rsid w:val="3EEC6F5E"/>
    <w:rsid w:val="4293DD78"/>
    <w:rsid w:val="49D56765"/>
    <w:rsid w:val="4BAF3E49"/>
    <w:rsid w:val="4C2887CD"/>
    <w:rsid w:val="4CB2A87C"/>
    <w:rsid w:val="4E025EB1"/>
    <w:rsid w:val="504FCAEC"/>
    <w:rsid w:val="50EDC362"/>
    <w:rsid w:val="517E91BB"/>
    <w:rsid w:val="51F7DB3F"/>
    <w:rsid w:val="562B5FEA"/>
    <w:rsid w:val="564A7AFA"/>
    <w:rsid w:val="59246117"/>
    <w:rsid w:val="5970DFEA"/>
    <w:rsid w:val="59A10595"/>
    <w:rsid w:val="5CED12F4"/>
    <w:rsid w:val="5D6984A1"/>
    <w:rsid w:val="5F40335C"/>
    <w:rsid w:val="61B2D515"/>
    <w:rsid w:val="6308B268"/>
    <w:rsid w:val="65817B3F"/>
    <w:rsid w:val="65E5F37F"/>
    <w:rsid w:val="688592BA"/>
    <w:rsid w:val="69DB700D"/>
    <w:rsid w:val="6C5438E4"/>
    <w:rsid w:val="6D277D6C"/>
    <w:rsid w:val="7004BE83"/>
    <w:rsid w:val="70945F31"/>
    <w:rsid w:val="737BF864"/>
    <w:rsid w:val="7380885D"/>
    <w:rsid w:val="7549F146"/>
    <w:rsid w:val="791FEC83"/>
    <w:rsid w:val="7D920D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C1E2"/>
  <w15:chartTrackingRefBased/>
  <w15:docId w15:val="{52ED9460-53C7-4D4B-8DAE-4673BF59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8A5"/>
  </w:style>
  <w:style w:type="paragraph" w:styleId="Heading1">
    <w:name w:val="heading 1"/>
    <w:basedOn w:val="Normal"/>
    <w:next w:val="Normal"/>
    <w:link w:val="Heading1Char"/>
    <w:uiPriority w:val="9"/>
    <w:qFormat/>
    <w:rsid w:val="009828A5"/>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8A5"/>
    <w:rPr>
      <w:rFonts w:asciiTheme="majorHAnsi" w:eastAsiaTheme="majorEastAsia" w:hAnsiTheme="majorHAnsi" w:cstheme="majorBidi"/>
      <w:sz w:val="32"/>
      <w:szCs w:val="32"/>
    </w:rPr>
  </w:style>
  <w:style w:type="table" w:styleId="TableGrid">
    <w:name w:val="Table Grid"/>
    <w:basedOn w:val="TableNormal"/>
    <w:uiPriority w:val="39"/>
    <w:rsid w:val="00F2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93E"/>
    <w:rPr>
      <w:color w:val="0563C1" w:themeColor="hyperlink"/>
      <w:u w:val="single"/>
    </w:rPr>
  </w:style>
  <w:style w:type="character" w:styleId="UnresolvedMention">
    <w:name w:val="Unresolved Mention"/>
    <w:basedOn w:val="DefaultParagraphFont"/>
    <w:uiPriority w:val="99"/>
    <w:semiHidden/>
    <w:unhideWhenUsed/>
    <w:rsid w:val="00AC693E"/>
    <w:rPr>
      <w:color w:val="605E5C"/>
      <w:shd w:val="clear" w:color="auto" w:fill="E1DFDD"/>
    </w:rPr>
  </w:style>
  <w:style w:type="character" w:styleId="CommentReference">
    <w:name w:val="annotation reference"/>
    <w:basedOn w:val="DefaultParagraphFont"/>
    <w:uiPriority w:val="99"/>
    <w:semiHidden/>
    <w:unhideWhenUsed/>
    <w:rsid w:val="00152194"/>
    <w:rPr>
      <w:sz w:val="16"/>
      <w:szCs w:val="16"/>
    </w:rPr>
  </w:style>
  <w:style w:type="paragraph" w:styleId="CommentText">
    <w:name w:val="annotation text"/>
    <w:basedOn w:val="Normal"/>
    <w:link w:val="CommentTextChar"/>
    <w:uiPriority w:val="99"/>
    <w:unhideWhenUsed/>
    <w:rsid w:val="00152194"/>
    <w:pPr>
      <w:spacing w:line="240" w:lineRule="auto"/>
    </w:pPr>
    <w:rPr>
      <w:sz w:val="20"/>
      <w:szCs w:val="20"/>
    </w:rPr>
  </w:style>
  <w:style w:type="character" w:customStyle="1" w:styleId="CommentTextChar">
    <w:name w:val="Comment Text Char"/>
    <w:basedOn w:val="DefaultParagraphFont"/>
    <w:link w:val="CommentText"/>
    <w:uiPriority w:val="99"/>
    <w:rsid w:val="00152194"/>
    <w:rPr>
      <w:sz w:val="20"/>
      <w:szCs w:val="20"/>
    </w:rPr>
  </w:style>
  <w:style w:type="paragraph" w:styleId="CommentSubject">
    <w:name w:val="annotation subject"/>
    <w:basedOn w:val="CommentText"/>
    <w:next w:val="CommentText"/>
    <w:link w:val="CommentSubjectChar"/>
    <w:uiPriority w:val="99"/>
    <w:semiHidden/>
    <w:unhideWhenUsed/>
    <w:rsid w:val="00152194"/>
    <w:rPr>
      <w:b/>
      <w:bCs/>
    </w:rPr>
  </w:style>
  <w:style w:type="character" w:customStyle="1" w:styleId="CommentSubjectChar">
    <w:name w:val="Comment Subject Char"/>
    <w:basedOn w:val="CommentTextChar"/>
    <w:link w:val="CommentSubject"/>
    <w:uiPriority w:val="99"/>
    <w:semiHidden/>
    <w:rsid w:val="00152194"/>
    <w:rPr>
      <w:b/>
      <w:bCs/>
      <w:sz w:val="20"/>
      <w:szCs w:val="20"/>
    </w:rPr>
  </w:style>
  <w:style w:type="character" w:styleId="Mention">
    <w:name w:val="Mention"/>
    <w:basedOn w:val="DefaultParagraphFont"/>
    <w:uiPriority w:val="99"/>
    <w:unhideWhenUsed/>
    <w:rsid w:val="00D05D4F"/>
    <w:rPr>
      <w:color w:val="2B579A"/>
      <w:shd w:val="clear" w:color="auto" w:fill="E1DFDD"/>
    </w:rPr>
  </w:style>
  <w:style w:type="paragraph" w:customStyle="1" w:styleId="DfESOutNumbered">
    <w:name w:val="DfESOutNumbered"/>
    <w:basedOn w:val="Normal"/>
    <w:link w:val="DfESOutNumberedChar"/>
    <w:rsid w:val="0020763C"/>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 w:val="22"/>
      <w:szCs w:val="20"/>
    </w:rPr>
  </w:style>
  <w:style w:type="character" w:customStyle="1" w:styleId="DfESOutNumberedChar">
    <w:name w:val="DfESOutNumbered Char"/>
    <w:basedOn w:val="DefaultParagraphFont"/>
    <w:link w:val="DfESOutNumbered"/>
    <w:rsid w:val="0020763C"/>
    <w:rPr>
      <w:rFonts w:ascii="Arial" w:eastAsia="Times New Roman" w:hAnsi="Arial" w:cs="Arial"/>
      <w:sz w:val="22"/>
      <w:szCs w:val="20"/>
    </w:rPr>
  </w:style>
  <w:style w:type="paragraph" w:customStyle="1" w:styleId="DeptBullets">
    <w:name w:val="DeptBullets"/>
    <w:basedOn w:val="Normal"/>
    <w:link w:val="DeptBulletsChar"/>
    <w:rsid w:val="0020763C"/>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character" w:customStyle="1" w:styleId="DeptBulletsChar">
    <w:name w:val="DeptBullets Char"/>
    <w:basedOn w:val="DefaultParagraphFont"/>
    <w:link w:val="DeptBullets"/>
    <w:rsid w:val="0020763C"/>
    <w:rPr>
      <w:rFonts w:ascii="Arial" w:eastAsia="Times New Roman" w:hAnsi="Arial" w:cs="Times New Roman"/>
      <w:szCs w:val="20"/>
    </w:rPr>
  </w:style>
  <w:style w:type="paragraph" w:styleId="NormalWeb">
    <w:name w:val="Normal (Web)"/>
    <w:basedOn w:val="Normal"/>
    <w:uiPriority w:val="99"/>
    <w:semiHidden/>
    <w:unhideWhenUsed/>
    <w:rsid w:val="004F0EAB"/>
    <w:pPr>
      <w:spacing w:before="100" w:beforeAutospacing="1" w:after="100" w:afterAutospacing="1" w:line="240" w:lineRule="auto"/>
    </w:pPr>
    <w:rPr>
      <w:rFonts w:ascii="Times New Roman" w:eastAsia="Times New Roman" w:hAnsi="Times New Roman" w:cs="Times New Roman"/>
      <w:lang w:eastAsia="en-GB"/>
    </w:rPr>
  </w:style>
  <w:style w:type="paragraph" w:styleId="Revision">
    <w:name w:val="Revision"/>
    <w:hidden/>
    <w:uiPriority w:val="99"/>
    <w:semiHidden/>
    <w:rsid w:val="00C16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003">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260993981">
      <w:bodyDiv w:val="1"/>
      <w:marLeft w:val="0"/>
      <w:marRight w:val="0"/>
      <w:marTop w:val="0"/>
      <w:marBottom w:val="0"/>
      <w:divBdr>
        <w:top w:val="none" w:sz="0" w:space="0" w:color="auto"/>
        <w:left w:val="none" w:sz="0" w:space="0" w:color="auto"/>
        <w:bottom w:val="none" w:sz="0" w:space="0" w:color="auto"/>
        <w:right w:val="none" w:sz="0" w:space="0" w:color="auto"/>
      </w:divBdr>
    </w:div>
    <w:div w:id="389840474">
      <w:bodyDiv w:val="1"/>
      <w:marLeft w:val="0"/>
      <w:marRight w:val="0"/>
      <w:marTop w:val="0"/>
      <w:marBottom w:val="0"/>
      <w:divBdr>
        <w:top w:val="none" w:sz="0" w:space="0" w:color="auto"/>
        <w:left w:val="none" w:sz="0" w:space="0" w:color="auto"/>
        <w:bottom w:val="none" w:sz="0" w:space="0" w:color="auto"/>
        <w:right w:val="none" w:sz="0" w:space="0" w:color="auto"/>
      </w:divBdr>
    </w:div>
    <w:div w:id="502597306">
      <w:bodyDiv w:val="1"/>
      <w:marLeft w:val="0"/>
      <w:marRight w:val="0"/>
      <w:marTop w:val="0"/>
      <w:marBottom w:val="0"/>
      <w:divBdr>
        <w:top w:val="none" w:sz="0" w:space="0" w:color="auto"/>
        <w:left w:val="none" w:sz="0" w:space="0" w:color="auto"/>
        <w:bottom w:val="none" w:sz="0" w:space="0" w:color="auto"/>
        <w:right w:val="none" w:sz="0" w:space="0" w:color="auto"/>
      </w:divBdr>
    </w:div>
    <w:div w:id="512305170">
      <w:bodyDiv w:val="1"/>
      <w:marLeft w:val="0"/>
      <w:marRight w:val="0"/>
      <w:marTop w:val="0"/>
      <w:marBottom w:val="0"/>
      <w:divBdr>
        <w:top w:val="none" w:sz="0" w:space="0" w:color="auto"/>
        <w:left w:val="none" w:sz="0" w:space="0" w:color="auto"/>
        <w:bottom w:val="none" w:sz="0" w:space="0" w:color="auto"/>
        <w:right w:val="none" w:sz="0" w:space="0" w:color="auto"/>
      </w:divBdr>
    </w:div>
    <w:div w:id="518466774">
      <w:bodyDiv w:val="1"/>
      <w:marLeft w:val="0"/>
      <w:marRight w:val="0"/>
      <w:marTop w:val="0"/>
      <w:marBottom w:val="0"/>
      <w:divBdr>
        <w:top w:val="none" w:sz="0" w:space="0" w:color="auto"/>
        <w:left w:val="none" w:sz="0" w:space="0" w:color="auto"/>
        <w:bottom w:val="none" w:sz="0" w:space="0" w:color="auto"/>
        <w:right w:val="none" w:sz="0" w:space="0" w:color="auto"/>
      </w:divBdr>
    </w:div>
    <w:div w:id="654182365">
      <w:bodyDiv w:val="1"/>
      <w:marLeft w:val="0"/>
      <w:marRight w:val="0"/>
      <w:marTop w:val="0"/>
      <w:marBottom w:val="0"/>
      <w:divBdr>
        <w:top w:val="none" w:sz="0" w:space="0" w:color="auto"/>
        <w:left w:val="none" w:sz="0" w:space="0" w:color="auto"/>
        <w:bottom w:val="none" w:sz="0" w:space="0" w:color="auto"/>
        <w:right w:val="none" w:sz="0" w:space="0" w:color="auto"/>
      </w:divBdr>
    </w:div>
    <w:div w:id="732000192">
      <w:bodyDiv w:val="1"/>
      <w:marLeft w:val="0"/>
      <w:marRight w:val="0"/>
      <w:marTop w:val="0"/>
      <w:marBottom w:val="0"/>
      <w:divBdr>
        <w:top w:val="none" w:sz="0" w:space="0" w:color="auto"/>
        <w:left w:val="none" w:sz="0" w:space="0" w:color="auto"/>
        <w:bottom w:val="none" w:sz="0" w:space="0" w:color="auto"/>
        <w:right w:val="none" w:sz="0" w:space="0" w:color="auto"/>
      </w:divBdr>
    </w:div>
    <w:div w:id="773521812">
      <w:bodyDiv w:val="1"/>
      <w:marLeft w:val="0"/>
      <w:marRight w:val="0"/>
      <w:marTop w:val="0"/>
      <w:marBottom w:val="0"/>
      <w:divBdr>
        <w:top w:val="none" w:sz="0" w:space="0" w:color="auto"/>
        <w:left w:val="none" w:sz="0" w:space="0" w:color="auto"/>
        <w:bottom w:val="none" w:sz="0" w:space="0" w:color="auto"/>
        <w:right w:val="none" w:sz="0" w:space="0" w:color="auto"/>
      </w:divBdr>
    </w:div>
    <w:div w:id="832839890">
      <w:bodyDiv w:val="1"/>
      <w:marLeft w:val="0"/>
      <w:marRight w:val="0"/>
      <w:marTop w:val="0"/>
      <w:marBottom w:val="0"/>
      <w:divBdr>
        <w:top w:val="none" w:sz="0" w:space="0" w:color="auto"/>
        <w:left w:val="none" w:sz="0" w:space="0" w:color="auto"/>
        <w:bottom w:val="none" w:sz="0" w:space="0" w:color="auto"/>
        <w:right w:val="none" w:sz="0" w:space="0" w:color="auto"/>
      </w:divBdr>
    </w:div>
    <w:div w:id="857622020">
      <w:bodyDiv w:val="1"/>
      <w:marLeft w:val="0"/>
      <w:marRight w:val="0"/>
      <w:marTop w:val="0"/>
      <w:marBottom w:val="0"/>
      <w:divBdr>
        <w:top w:val="none" w:sz="0" w:space="0" w:color="auto"/>
        <w:left w:val="none" w:sz="0" w:space="0" w:color="auto"/>
        <w:bottom w:val="none" w:sz="0" w:space="0" w:color="auto"/>
        <w:right w:val="none" w:sz="0" w:space="0" w:color="auto"/>
      </w:divBdr>
    </w:div>
    <w:div w:id="1224874046">
      <w:bodyDiv w:val="1"/>
      <w:marLeft w:val="0"/>
      <w:marRight w:val="0"/>
      <w:marTop w:val="0"/>
      <w:marBottom w:val="0"/>
      <w:divBdr>
        <w:top w:val="none" w:sz="0" w:space="0" w:color="auto"/>
        <w:left w:val="none" w:sz="0" w:space="0" w:color="auto"/>
        <w:bottom w:val="none" w:sz="0" w:space="0" w:color="auto"/>
        <w:right w:val="none" w:sz="0" w:space="0" w:color="auto"/>
      </w:divBdr>
    </w:div>
    <w:div w:id="1245987971">
      <w:bodyDiv w:val="1"/>
      <w:marLeft w:val="0"/>
      <w:marRight w:val="0"/>
      <w:marTop w:val="0"/>
      <w:marBottom w:val="0"/>
      <w:divBdr>
        <w:top w:val="none" w:sz="0" w:space="0" w:color="auto"/>
        <w:left w:val="none" w:sz="0" w:space="0" w:color="auto"/>
        <w:bottom w:val="none" w:sz="0" w:space="0" w:color="auto"/>
        <w:right w:val="none" w:sz="0" w:space="0" w:color="auto"/>
      </w:divBdr>
    </w:div>
    <w:div w:id="1346052929">
      <w:bodyDiv w:val="1"/>
      <w:marLeft w:val="0"/>
      <w:marRight w:val="0"/>
      <w:marTop w:val="0"/>
      <w:marBottom w:val="0"/>
      <w:divBdr>
        <w:top w:val="none" w:sz="0" w:space="0" w:color="auto"/>
        <w:left w:val="none" w:sz="0" w:space="0" w:color="auto"/>
        <w:bottom w:val="none" w:sz="0" w:space="0" w:color="auto"/>
        <w:right w:val="none" w:sz="0" w:space="0" w:color="auto"/>
      </w:divBdr>
    </w:div>
    <w:div w:id="1347754075">
      <w:bodyDiv w:val="1"/>
      <w:marLeft w:val="0"/>
      <w:marRight w:val="0"/>
      <w:marTop w:val="0"/>
      <w:marBottom w:val="0"/>
      <w:divBdr>
        <w:top w:val="none" w:sz="0" w:space="0" w:color="auto"/>
        <w:left w:val="none" w:sz="0" w:space="0" w:color="auto"/>
        <w:bottom w:val="none" w:sz="0" w:space="0" w:color="auto"/>
        <w:right w:val="none" w:sz="0" w:space="0" w:color="auto"/>
      </w:divBdr>
    </w:div>
    <w:div w:id="1445417576">
      <w:bodyDiv w:val="1"/>
      <w:marLeft w:val="0"/>
      <w:marRight w:val="0"/>
      <w:marTop w:val="0"/>
      <w:marBottom w:val="0"/>
      <w:divBdr>
        <w:top w:val="none" w:sz="0" w:space="0" w:color="auto"/>
        <w:left w:val="none" w:sz="0" w:space="0" w:color="auto"/>
        <w:bottom w:val="none" w:sz="0" w:space="0" w:color="auto"/>
        <w:right w:val="none" w:sz="0" w:space="0" w:color="auto"/>
      </w:divBdr>
    </w:div>
    <w:div w:id="1451898427">
      <w:bodyDiv w:val="1"/>
      <w:marLeft w:val="0"/>
      <w:marRight w:val="0"/>
      <w:marTop w:val="0"/>
      <w:marBottom w:val="0"/>
      <w:divBdr>
        <w:top w:val="none" w:sz="0" w:space="0" w:color="auto"/>
        <w:left w:val="none" w:sz="0" w:space="0" w:color="auto"/>
        <w:bottom w:val="none" w:sz="0" w:space="0" w:color="auto"/>
        <w:right w:val="none" w:sz="0" w:space="0" w:color="auto"/>
      </w:divBdr>
    </w:div>
    <w:div w:id="1607956195">
      <w:bodyDiv w:val="1"/>
      <w:marLeft w:val="0"/>
      <w:marRight w:val="0"/>
      <w:marTop w:val="0"/>
      <w:marBottom w:val="0"/>
      <w:divBdr>
        <w:top w:val="none" w:sz="0" w:space="0" w:color="auto"/>
        <w:left w:val="none" w:sz="0" w:space="0" w:color="auto"/>
        <w:bottom w:val="none" w:sz="0" w:space="0" w:color="auto"/>
        <w:right w:val="none" w:sz="0" w:space="0" w:color="auto"/>
      </w:divBdr>
    </w:div>
    <w:div w:id="1754282622">
      <w:bodyDiv w:val="1"/>
      <w:marLeft w:val="0"/>
      <w:marRight w:val="0"/>
      <w:marTop w:val="0"/>
      <w:marBottom w:val="0"/>
      <w:divBdr>
        <w:top w:val="none" w:sz="0" w:space="0" w:color="auto"/>
        <w:left w:val="none" w:sz="0" w:space="0" w:color="auto"/>
        <w:bottom w:val="none" w:sz="0" w:space="0" w:color="auto"/>
        <w:right w:val="none" w:sz="0" w:space="0" w:color="auto"/>
      </w:divBdr>
    </w:div>
    <w:div w:id="17773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nitial-teacher-training-reform-partnership-gran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TT.providersupport@education.gov.uk" TargetMode="External"/><Relationship Id="rId5" Type="http://schemas.openxmlformats.org/officeDocument/2006/relationships/styles" Target="styles.xml"/><Relationship Id="rId10" Type="http://schemas.openxmlformats.org/officeDocument/2006/relationships/hyperlink" Target="mailto:ITT.providersupport@education.gov.uk" TargetMode="External"/><Relationship Id="rId4" Type="http://schemas.openxmlformats.org/officeDocument/2006/relationships/numbering" Target="numbering.xml"/><Relationship Id="rId9" Type="http://schemas.openxmlformats.org/officeDocument/2006/relationships/hyperlink" Target="mailto:ittreform.funding@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49942-E8EB-444A-ACF8-A9AD287F1F00}">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customXml/itemProps2.xml><?xml version="1.0" encoding="utf-8"?>
<ds:datastoreItem xmlns:ds="http://schemas.openxmlformats.org/officeDocument/2006/customXml" ds:itemID="{7403BE6A-1077-4085-B981-3FEE1A1DC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2F7AF-78E6-4AD7-8302-4A5B06669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2252</Words>
  <Characters>12838</Characters>
  <Application>Microsoft Office Word</Application>
  <DocSecurity>4</DocSecurity>
  <Lines>106</Lines>
  <Paragraphs>30</Paragraphs>
  <ScaleCrop>false</ScaleCrop>
  <Company/>
  <LinksUpToDate>false</LinksUpToDate>
  <CharactersWithSpaces>15060</CharactersWithSpaces>
  <SharedDoc>false</SharedDoc>
  <HLinks>
    <vt:vector size="24" baseType="variant">
      <vt:variant>
        <vt:i4>6684742</vt:i4>
      </vt:variant>
      <vt:variant>
        <vt:i4>9</vt:i4>
      </vt:variant>
      <vt:variant>
        <vt:i4>0</vt:i4>
      </vt:variant>
      <vt:variant>
        <vt:i4>5</vt:i4>
      </vt:variant>
      <vt:variant>
        <vt:lpwstr>mailto:ITT.providersupport@education.gov.uk</vt:lpwstr>
      </vt:variant>
      <vt:variant>
        <vt:lpwstr/>
      </vt:variant>
      <vt:variant>
        <vt:i4>6684742</vt:i4>
      </vt:variant>
      <vt:variant>
        <vt:i4>6</vt:i4>
      </vt:variant>
      <vt:variant>
        <vt:i4>0</vt:i4>
      </vt:variant>
      <vt:variant>
        <vt:i4>5</vt:i4>
      </vt:variant>
      <vt:variant>
        <vt:lpwstr>mailto:ITT.providersupport@education.gov.uk</vt:lpwstr>
      </vt:variant>
      <vt:variant>
        <vt:lpwstr/>
      </vt:variant>
      <vt:variant>
        <vt:i4>786490</vt:i4>
      </vt:variant>
      <vt:variant>
        <vt:i4>3</vt:i4>
      </vt:variant>
      <vt:variant>
        <vt:i4>0</vt:i4>
      </vt:variant>
      <vt:variant>
        <vt:i4>5</vt:i4>
      </vt:variant>
      <vt:variant>
        <vt:lpwstr>mailto:ittreform.funding@education.gov.uk</vt:lpwstr>
      </vt:variant>
      <vt:variant>
        <vt:lpwstr/>
      </vt:variant>
      <vt:variant>
        <vt:i4>6029380</vt:i4>
      </vt:variant>
      <vt:variant>
        <vt:i4>0</vt:i4>
      </vt:variant>
      <vt:variant>
        <vt:i4>0</vt:i4>
      </vt:variant>
      <vt:variant>
        <vt:i4>5</vt:i4>
      </vt:variant>
      <vt:variant>
        <vt:lpwstr>https://www.gov.uk/guidance/initial-teacher-training-reform-partnership-grant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COOPER</dc:creator>
  <cp:keywords/>
  <dc:description/>
  <cp:lastModifiedBy>Max Fincher</cp:lastModifiedBy>
  <cp:revision>2</cp:revision>
  <dcterms:created xsi:type="dcterms:W3CDTF">2023-03-07T16:46:00Z</dcterms:created>
  <dcterms:modified xsi:type="dcterms:W3CDTF">2023-03-07T16:46:00Z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0x0101001C5B5CD8B9CC114C86D64BEB7B45254B</vt:lpwstr>
  </property>
</Properties>
</file>