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7FF50" w14:textId="6C00FBA1" w:rsidR="00A854F9" w:rsidRDefault="00CE2ECF">
      <w:pPr>
        <w:spacing w:after="182" w:line="259" w:lineRule="auto"/>
        <w:ind w:left="3012" w:firstLine="0"/>
      </w:pPr>
      <w:r>
        <w:rPr>
          <w:noProof/>
        </w:rPr>
        <w:drawing>
          <wp:inline distT="0" distB="0" distL="0" distR="0" wp14:anchorId="7CC2304B" wp14:editId="18D87771">
            <wp:extent cx="1984085" cy="10541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157" cy="1056795"/>
                    </a:xfrm>
                    <a:prstGeom prst="rect">
                      <a:avLst/>
                    </a:prstGeom>
                  </pic:spPr>
                </pic:pic>
              </a:graphicData>
            </a:graphic>
          </wp:inline>
        </w:drawing>
      </w:r>
    </w:p>
    <w:p w14:paraId="60BA9074" w14:textId="77777777" w:rsidR="00A854F9" w:rsidRDefault="006644B5">
      <w:pPr>
        <w:spacing w:after="423" w:line="259" w:lineRule="auto"/>
        <w:ind w:left="0" w:firstLine="0"/>
      </w:pPr>
      <w:r>
        <w:rPr>
          <w:b/>
          <w:sz w:val="40"/>
        </w:rPr>
        <w:t xml:space="preserve"> </w:t>
      </w:r>
    </w:p>
    <w:p w14:paraId="70449DA9" w14:textId="77777777" w:rsidR="00A854F9" w:rsidRDefault="006644B5">
      <w:pPr>
        <w:spacing w:after="382" w:line="259" w:lineRule="auto"/>
        <w:ind w:left="0" w:firstLine="0"/>
      </w:pPr>
      <w:r>
        <w:rPr>
          <w:b/>
          <w:color w:val="5C6F7C"/>
          <w:sz w:val="48"/>
        </w:rPr>
        <w:t xml:space="preserve"> </w:t>
      </w:r>
    </w:p>
    <w:p w14:paraId="13614F56" w14:textId="107766A2" w:rsidR="00A854F9" w:rsidRDefault="00712D03">
      <w:pPr>
        <w:spacing w:after="47" w:line="357" w:lineRule="auto"/>
        <w:ind w:left="142" w:firstLine="0"/>
      </w:pPr>
      <w:r>
        <w:rPr>
          <w:b/>
          <w:color w:val="7BB8B8"/>
          <w:sz w:val="48"/>
        </w:rPr>
        <w:t>Professional Diploma in Teaching (Further Education and Skills)</w:t>
      </w:r>
      <w:r w:rsidR="006644B5">
        <w:rPr>
          <w:b/>
          <w:color w:val="7BB8B8"/>
          <w:sz w:val="48"/>
        </w:rPr>
        <w:t xml:space="preserve"> </w:t>
      </w:r>
    </w:p>
    <w:p w14:paraId="172D624C" w14:textId="77777777" w:rsidR="00A854F9" w:rsidRDefault="006644B5">
      <w:pPr>
        <w:spacing w:after="327" w:line="259" w:lineRule="auto"/>
        <w:ind w:left="0" w:firstLine="0"/>
      </w:pPr>
      <w:r>
        <w:rPr>
          <w:b/>
          <w:color w:val="919396"/>
          <w:sz w:val="36"/>
        </w:rPr>
        <w:t xml:space="preserve"> </w:t>
      </w:r>
    </w:p>
    <w:p w14:paraId="4320BF19" w14:textId="556ADF6A" w:rsidR="00A854F9" w:rsidRDefault="002948EB">
      <w:pPr>
        <w:spacing w:after="195" w:line="357" w:lineRule="auto"/>
        <w:ind w:left="142" w:firstLine="0"/>
      </w:pPr>
      <w:r>
        <w:rPr>
          <w:b/>
          <w:color w:val="919396"/>
          <w:sz w:val="36"/>
        </w:rPr>
        <w:t>G</w:t>
      </w:r>
      <w:r w:rsidR="006644B5">
        <w:rPr>
          <w:b/>
          <w:color w:val="919396"/>
          <w:sz w:val="36"/>
        </w:rPr>
        <w:t xml:space="preserve">uidance on the </w:t>
      </w:r>
      <w:r>
        <w:rPr>
          <w:b/>
          <w:color w:val="919396"/>
          <w:sz w:val="36"/>
        </w:rPr>
        <w:t xml:space="preserve">full </w:t>
      </w:r>
      <w:r w:rsidR="006644B5">
        <w:rPr>
          <w:b/>
          <w:color w:val="919396"/>
          <w:sz w:val="36"/>
        </w:rPr>
        <w:t xml:space="preserve">teaching qualification for the further education and skills sector </w:t>
      </w:r>
    </w:p>
    <w:p w14:paraId="5A4FF27B" w14:textId="2B792F05" w:rsidR="00A854F9" w:rsidRDefault="006644B5">
      <w:pPr>
        <w:spacing w:after="310" w:line="259" w:lineRule="auto"/>
        <w:ind w:left="0" w:firstLine="0"/>
      </w:pPr>
      <w:r>
        <w:rPr>
          <w:b/>
          <w:sz w:val="40"/>
        </w:rPr>
        <w:t xml:space="preserve"> </w:t>
      </w:r>
      <w:r w:rsidR="00C960AB">
        <w:rPr>
          <w:b/>
          <w:sz w:val="40"/>
        </w:rPr>
        <w:t>NB: DRAFT FOR DISCUSSION ONLY. NO FORMAL STATUS</w:t>
      </w:r>
      <w:bookmarkStart w:id="0" w:name="_GoBack"/>
      <w:bookmarkEnd w:id="0"/>
      <w:r w:rsidR="00C960AB">
        <w:rPr>
          <w:b/>
          <w:sz w:val="40"/>
        </w:rPr>
        <w:t xml:space="preserve"> </w:t>
      </w:r>
    </w:p>
    <w:p w14:paraId="48162EB3" w14:textId="33CFC37D" w:rsidR="00A854F9" w:rsidRDefault="006644B5">
      <w:pPr>
        <w:pStyle w:val="Heading1"/>
        <w:spacing w:after="209"/>
      </w:pPr>
      <w:r>
        <w:t>November 20</w:t>
      </w:r>
      <w:r w:rsidR="002948EB">
        <w:t>21</w:t>
      </w:r>
      <w:r>
        <w:t xml:space="preserve"> </w:t>
      </w:r>
    </w:p>
    <w:p w14:paraId="023C2FC4" w14:textId="77777777" w:rsidR="002948EB" w:rsidRDefault="002948EB">
      <w:pPr>
        <w:spacing w:after="160" w:line="259" w:lineRule="auto"/>
        <w:ind w:left="0" w:firstLine="0"/>
        <w:rPr>
          <w:b/>
          <w:color w:val="5C6F7C"/>
          <w:sz w:val="36"/>
        </w:rPr>
      </w:pPr>
      <w:r>
        <w:rPr>
          <w:b/>
          <w:color w:val="5C6F7C"/>
          <w:sz w:val="36"/>
        </w:rPr>
        <w:br w:type="page"/>
      </w:r>
    </w:p>
    <w:p w14:paraId="5A52EDE0" w14:textId="02D360FB" w:rsidR="00A854F9" w:rsidRDefault="006644B5">
      <w:pPr>
        <w:spacing w:after="0" w:line="259" w:lineRule="auto"/>
        <w:ind w:left="0" w:firstLine="0"/>
      </w:pPr>
      <w:r>
        <w:rPr>
          <w:b/>
          <w:color w:val="5C6F7C"/>
          <w:sz w:val="36"/>
        </w:rPr>
        <w:lastRenderedPageBreak/>
        <w:t xml:space="preserve"> </w:t>
      </w:r>
    </w:p>
    <w:p w14:paraId="3A7C9047" w14:textId="77777777" w:rsidR="00A854F9" w:rsidRDefault="006644B5">
      <w:pPr>
        <w:pStyle w:val="Heading1"/>
        <w:tabs>
          <w:tab w:val="center" w:pos="2160"/>
          <w:tab w:val="center" w:pos="2881"/>
          <w:tab w:val="center" w:pos="3601"/>
          <w:tab w:val="center" w:pos="4321"/>
          <w:tab w:val="center" w:pos="5041"/>
          <w:tab w:val="center" w:pos="5761"/>
          <w:tab w:val="center" w:pos="6481"/>
          <w:tab w:val="right" w:pos="9802"/>
        </w:tabs>
        <w:spacing w:after="273"/>
        <w:ind w:left="-15" w:firstLine="0"/>
      </w:pPr>
      <w:r>
        <w:t>Contents</w:t>
      </w:r>
      <w:r>
        <w:rPr>
          <w:b w:val="0"/>
          <w:color w:val="000000"/>
          <w:sz w:val="28"/>
        </w:rPr>
        <w:t xml:space="preserve"> </w:t>
      </w:r>
      <w:r>
        <w:rPr>
          <w:b w:val="0"/>
          <w:color w:val="000000"/>
          <w:sz w:val="28"/>
        </w:rPr>
        <w:tab/>
        <w:t xml:space="preserve"> </w:t>
      </w:r>
      <w:r>
        <w:rPr>
          <w:b w:val="0"/>
          <w:color w:val="000000"/>
          <w:sz w:val="28"/>
        </w:rPr>
        <w:tab/>
        <w:t xml:space="preserve"> </w:t>
      </w:r>
      <w:r>
        <w:rPr>
          <w:b w:val="0"/>
          <w:color w:val="000000"/>
          <w:sz w:val="28"/>
        </w:rPr>
        <w:tab/>
        <w:t xml:space="preserve"> </w:t>
      </w:r>
      <w:r>
        <w:rPr>
          <w:b w:val="0"/>
          <w:color w:val="000000"/>
          <w:sz w:val="28"/>
        </w:rPr>
        <w:tab/>
        <w:t xml:space="preserve"> </w:t>
      </w:r>
      <w:r>
        <w:rPr>
          <w:b w:val="0"/>
          <w:color w:val="000000"/>
          <w:sz w:val="28"/>
        </w:rPr>
        <w:tab/>
        <w:t xml:space="preserve"> </w:t>
      </w:r>
      <w:r>
        <w:rPr>
          <w:b w:val="0"/>
          <w:color w:val="000000"/>
          <w:sz w:val="28"/>
        </w:rPr>
        <w:tab/>
        <w:t xml:space="preserve"> </w:t>
      </w:r>
      <w:r>
        <w:rPr>
          <w:b w:val="0"/>
          <w:color w:val="000000"/>
          <w:sz w:val="28"/>
        </w:rPr>
        <w:tab/>
        <w:t xml:space="preserve"> </w:t>
      </w:r>
      <w:r>
        <w:rPr>
          <w:b w:val="0"/>
          <w:color w:val="000000"/>
          <w:sz w:val="28"/>
        </w:rPr>
        <w:tab/>
        <w:t xml:space="preserve">                           </w:t>
      </w:r>
      <w:r>
        <w:rPr>
          <w:sz w:val="28"/>
        </w:rPr>
        <w:t>Page</w:t>
      </w:r>
      <w:r>
        <w:rPr>
          <w:b w:val="0"/>
          <w:color w:val="000000"/>
          <w:sz w:val="28"/>
        </w:rPr>
        <w:t xml:space="preserve"> </w:t>
      </w:r>
    </w:p>
    <w:p w14:paraId="57B7CED4" w14:textId="3FE17400" w:rsidR="00A854F9" w:rsidRPr="00056393" w:rsidRDefault="006644B5">
      <w:pPr>
        <w:tabs>
          <w:tab w:val="center" w:pos="3601"/>
          <w:tab w:val="center" w:pos="4321"/>
          <w:tab w:val="center" w:pos="5041"/>
          <w:tab w:val="center" w:pos="5761"/>
          <w:tab w:val="center" w:pos="6481"/>
          <w:tab w:val="center" w:pos="7201"/>
          <w:tab w:val="center" w:pos="7922"/>
          <w:tab w:val="center" w:pos="8642"/>
          <w:tab w:val="right" w:pos="9802"/>
        </w:tabs>
        <w:spacing w:after="316" w:line="259" w:lineRule="auto"/>
        <w:ind w:left="-15" w:firstLine="0"/>
        <w:rPr>
          <w:color w:val="auto"/>
        </w:rPr>
      </w:pPr>
      <w:r w:rsidRPr="00056393">
        <w:rPr>
          <w:b/>
          <w:color w:val="auto"/>
          <w:sz w:val="28"/>
        </w:rPr>
        <w:t xml:space="preserve">Section 1 </w:t>
      </w:r>
      <w:r w:rsidR="00A26490">
        <w:rPr>
          <w:b/>
          <w:color w:val="auto"/>
          <w:sz w:val="28"/>
        </w:rPr>
        <w:t xml:space="preserve"> </w:t>
      </w:r>
      <w:r w:rsidRPr="00056393">
        <w:rPr>
          <w:b/>
          <w:color w:val="auto"/>
          <w:sz w:val="28"/>
        </w:rPr>
        <w:t xml:space="preserve">Overview  </w:t>
      </w:r>
      <w:r w:rsidRPr="00056393">
        <w:rPr>
          <w:b/>
          <w:color w:val="auto"/>
          <w:sz w:val="28"/>
        </w:rPr>
        <w:tab/>
        <w:t xml:space="preserve"> </w:t>
      </w:r>
      <w:r w:rsidRPr="00056393">
        <w:rPr>
          <w:b/>
          <w:color w:val="auto"/>
          <w:sz w:val="28"/>
        </w:rPr>
        <w:tab/>
        <w:t xml:space="preserve"> </w:t>
      </w:r>
      <w:r w:rsidRPr="00056393">
        <w:rPr>
          <w:b/>
          <w:color w:val="auto"/>
          <w:sz w:val="28"/>
        </w:rPr>
        <w:tab/>
        <w:t xml:space="preserve"> </w:t>
      </w:r>
      <w:r w:rsidRPr="00056393">
        <w:rPr>
          <w:b/>
          <w:color w:val="auto"/>
          <w:sz w:val="28"/>
        </w:rPr>
        <w:tab/>
        <w:t xml:space="preserve"> </w:t>
      </w:r>
      <w:r w:rsidRPr="00056393">
        <w:rPr>
          <w:b/>
          <w:color w:val="auto"/>
          <w:sz w:val="28"/>
        </w:rPr>
        <w:tab/>
        <w:t xml:space="preserve"> </w:t>
      </w:r>
      <w:r w:rsidRPr="00056393">
        <w:rPr>
          <w:b/>
          <w:color w:val="auto"/>
          <w:sz w:val="28"/>
        </w:rPr>
        <w:tab/>
        <w:t xml:space="preserve"> </w:t>
      </w:r>
      <w:r w:rsidRPr="00056393">
        <w:rPr>
          <w:b/>
          <w:color w:val="auto"/>
          <w:sz w:val="28"/>
        </w:rPr>
        <w:tab/>
        <w:t xml:space="preserve"> </w:t>
      </w:r>
      <w:r w:rsidRPr="00056393">
        <w:rPr>
          <w:b/>
          <w:color w:val="auto"/>
          <w:sz w:val="28"/>
        </w:rPr>
        <w:tab/>
        <w:t xml:space="preserve"> </w:t>
      </w:r>
      <w:r w:rsidRPr="00056393">
        <w:rPr>
          <w:b/>
          <w:color w:val="auto"/>
          <w:sz w:val="28"/>
        </w:rPr>
        <w:tab/>
        <w:t xml:space="preserve">  </w:t>
      </w:r>
      <w:r w:rsidR="00284BFD">
        <w:rPr>
          <w:b/>
          <w:color w:val="auto"/>
          <w:sz w:val="28"/>
        </w:rPr>
        <w:t>4</w:t>
      </w:r>
      <w:r w:rsidRPr="00056393">
        <w:rPr>
          <w:b/>
          <w:color w:val="auto"/>
          <w:sz w:val="28"/>
        </w:rPr>
        <w:t xml:space="preserve"> </w:t>
      </w:r>
    </w:p>
    <w:p w14:paraId="41868F74" w14:textId="77777777" w:rsidR="00A854F9" w:rsidRPr="00056393" w:rsidRDefault="006644B5">
      <w:pPr>
        <w:tabs>
          <w:tab w:val="center" w:pos="2758"/>
          <w:tab w:val="center" w:pos="5041"/>
          <w:tab w:val="center" w:pos="5761"/>
          <w:tab w:val="center" w:pos="6481"/>
          <w:tab w:val="center" w:pos="7201"/>
          <w:tab w:val="center" w:pos="7922"/>
        </w:tabs>
        <w:spacing w:after="313" w:line="259" w:lineRule="auto"/>
        <w:ind w:left="-15" w:firstLine="0"/>
        <w:rPr>
          <w:color w:val="auto"/>
        </w:rPr>
      </w:pPr>
      <w:r w:rsidRPr="00056393">
        <w:rPr>
          <w:color w:val="auto"/>
          <w:sz w:val="28"/>
        </w:rPr>
        <w:t xml:space="preserve">           1.1 </w:t>
      </w:r>
      <w:r w:rsidRPr="00056393">
        <w:rPr>
          <w:color w:val="auto"/>
          <w:sz w:val="28"/>
        </w:rPr>
        <w:tab/>
        <w:t xml:space="preserve">Purpose of document  </w:t>
      </w:r>
      <w:r w:rsidRPr="00056393">
        <w:rPr>
          <w:color w:val="auto"/>
          <w:sz w:val="28"/>
        </w:rPr>
        <w:tab/>
        <w:t xml:space="preserve"> </w:t>
      </w:r>
      <w:r w:rsidRPr="00056393">
        <w:rPr>
          <w:color w:val="auto"/>
          <w:sz w:val="28"/>
        </w:rPr>
        <w:tab/>
        <w:t xml:space="preserve"> </w:t>
      </w:r>
      <w:r w:rsidRPr="00056393">
        <w:rPr>
          <w:color w:val="auto"/>
          <w:sz w:val="28"/>
        </w:rPr>
        <w:tab/>
        <w:t xml:space="preserve"> </w:t>
      </w:r>
      <w:r w:rsidRPr="00056393">
        <w:rPr>
          <w:color w:val="auto"/>
          <w:sz w:val="28"/>
        </w:rPr>
        <w:tab/>
        <w:t xml:space="preserve"> </w:t>
      </w:r>
      <w:r w:rsidRPr="00056393">
        <w:rPr>
          <w:color w:val="auto"/>
          <w:sz w:val="28"/>
        </w:rPr>
        <w:tab/>
        <w:t xml:space="preserve"> </w:t>
      </w:r>
    </w:p>
    <w:p w14:paraId="623A3951" w14:textId="0A11D44D" w:rsidR="00A854F9" w:rsidRDefault="006644B5">
      <w:pPr>
        <w:tabs>
          <w:tab w:val="center" w:pos="3204"/>
        </w:tabs>
        <w:spacing w:after="313" w:line="259" w:lineRule="auto"/>
        <w:ind w:left="-15" w:firstLine="0"/>
        <w:rPr>
          <w:color w:val="auto"/>
          <w:sz w:val="28"/>
        </w:rPr>
      </w:pPr>
      <w:r w:rsidRPr="00056393">
        <w:rPr>
          <w:color w:val="auto"/>
          <w:sz w:val="28"/>
        </w:rPr>
        <w:t xml:space="preserve">           1.2 </w:t>
      </w:r>
      <w:r w:rsidRPr="00056393">
        <w:rPr>
          <w:color w:val="auto"/>
          <w:sz w:val="28"/>
        </w:rPr>
        <w:tab/>
        <w:t xml:space="preserve">How the document is set out </w:t>
      </w:r>
    </w:p>
    <w:p w14:paraId="439A22E0" w14:textId="2117036E" w:rsidR="00E926C1" w:rsidRDefault="00E926C1" w:rsidP="00E926C1">
      <w:pPr>
        <w:tabs>
          <w:tab w:val="center" w:pos="3204"/>
        </w:tabs>
        <w:spacing w:after="313" w:line="259" w:lineRule="auto"/>
        <w:ind w:left="-15" w:firstLine="0"/>
        <w:rPr>
          <w:color w:val="auto"/>
          <w:sz w:val="28"/>
        </w:rPr>
      </w:pPr>
      <w:r w:rsidRPr="00056393">
        <w:rPr>
          <w:color w:val="auto"/>
          <w:sz w:val="28"/>
        </w:rPr>
        <w:t xml:space="preserve">           1.</w:t>
      </w:r>
      <w:r>
        <w:rPr>
          <w:color w:val="auto"/>
          <w:sz w:val="28"/>
        </w:rPr>
        <w:t>3</w:t>
      </w:r>
      <w:r w:rsidRPr="00056393">
        <w:rPr>
          <w:color w:val="auto"/>
          <w:sz w:val="28"/>
        </w:rPr>
        <w:t xml:space="preserve"> </w:t>
      </w:r>
      <w:r w:rsidRPr="00056393">
        <w:rPr>
          <w:color w:val="auto"/>
          <w:sz w:val="28"/>
        </w:rPr>
        <w:tab/>
      </w:r>
      <w:r>
        <w:rPr>
          <w:color w:val="auto"/>
          <w:sz w:val="28"/>
        </w:rPr>
        <w:t xml:space="preserve">    Enquiries about this document</w:t>
      </w:r>
    </w:p>
    <w:p w14:paraId="6EB5D302" w14:textId="77777777" w:rsidR="00A854F9" w:rsidRPr="00056393" w:rsidRDefault="006644B5">
      <w:pPr>
        <w:spacing w:after="305" w:line="259" w:lineRule="auto"/>
        <w:ind w:left="12" w:firstLine="0"/>
        <w:jc w:val="center"/>
        <w:rPr>
          <w:color w:val="auto"/>
        </w:rPr>
      </w:pPr>
      <w:r w:rsidRPr="00056393">
        <w:rPr>
          <w:color w:val="auto"/>
          <w:sz w:val="28"/>
        </w:rPr>
        <w:t xml:space="preserve"> </w:t>
      </w:r>
    </w:p>
    <w:p w14:paraId="506CD3DC" w14:textId="472BF61F" w:rsidR="00A854F9" w:rsidRPr="00056393" w:rsidRDefault="006644B5">
      <w:pPr>
        <w:tabs>
          <w:tab w:val="center" w:pos="7922"/>
          <w:tab w:val="right" w:pos="9802"/>
        </w:tabs>
        <w:spacing w:after="316" w:line="259" w:lineRule="auto"/>
        <w:ind w:left="-15" w:firstLine="0"/>
        <w:rPr>
          <w:color w:val="auto"/>
        </w:rPr>
      </w:pPr>
      <w:r w:rsidRPr="00056393">
        <w:rPr>
          <w:b/>
          <w:color w:val="auto"/>
          <w:sz w:val="28"/>
        </w:rPr>
        <w:t xml:space="preserve">Section 2 </w:t>
      </w:r>
      <w:r w:rsidR="00A26490">
        <w:rPr>
          <w:b/>
          <w:color w:val="auto"/>
          <w:sz w:val="28"/>
        </w:rPr>
        <w:t xml:space="preserve"> </w:t>
      </w:r>
      <w:r w:rsidRPr="00056393">
        <w:rPr>
          <w:b/>
          <w:color w:val="auto"/>
          <w:sz w:val="28"/>
        </w:rPr>
        <w:t xml:space="preserve">Background and context to the guidance </w:t>
      </w:r>
      <w:r w:rsidRPr="00056393">
        <w:rPr>
          <w:b/>
          <w:color w:val="auto"/>
          <w:sz w:val="28"/>
        </w:rPr>
        <w:tab/>
        <w:t xml:space="preserve"> </w:t>
      </w:r>
      <w:r w:rsidR="00C816DE">
        <w:rPr>
          <w:b/>
          <w:color w:val="auto"/>
          <w:sz w:val="28"/>
        </w:rPr>
        <w:tab/>
      </w:r>
      <w:r w:rsidRPr="00056393">
        <w:rPr>
          <w:b/>
          <w:color w:val="auto"/>
          <w:sz w:val="28"/>
        </w:rPr>
        <w:t xml:space="preserve">             </w:t>
      </w:r>
      <w:r w:rsidR="00C57F6E">
        <w:rPr>
          <w:b/>
          <w:color w:val="auto"/>
          <w:sz w:val="28"/>
        </w:rPr>
        <w:t>5</w:t>
      </w:r>
      <w:r w:rsidRPr="00056393">
        <w:rPr>
          <w:b/>
          <w:color w:val="auto"/>
          <w:sz w:val="28"/>
        </w:rPr>
        <w:t xml:space="preserve"> </w:t>
      </w: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3938"/>
        <w:gridCol w:w="3938"/>
      </w:tblGrid>
      <w:tr w:rsidR="0046717D" w14:paraId="23CCF8CF" w14:textId="77777777" w:rsidTr="0010342E">
        <w:tc>
          <w:tcPr>
            <w:tcW w:w="1853" w:type="dxa"/>
          </w:tcPr>
          <w:p w14:paraId="5A3F86F8" w14:textId="5C9FD490" w:rsidR="0046717D" w:rsidRDefault="00CC0C42" w:rsidP="0010342E">
            <w:pPr>
              <w:tabs>
                <w:tab w:val="center" w:pos="912"/>
                <w:tab w:val="center" w:pos="3720"/>
              </w:tabs>
              <w:spacing w:after="313" w:line="259" w:lineRule="auto"/>
              <w:ind w:left="0" w:firstLine="0"/>
              <w:jc w:val="center"/>
              <w:rPr>
                <w:color w:val="auto"/>
                <w:sz w:val="28"/>
              </w:rPr>
            </w:pPr>
            <w:r>
              <w:rPr>
                <w:color w:val="auto"/>
                <w:sz w:val="28"/>
              </w:rPr>
              <w:t>2.1</w:t>
            </w:r>
          </w:p>
        </w:tc>
        <w:tc>
          <w:tcPr>
            <w:tcW w:w="7876" w:type="dxa"/>
            <w:gridSpan w:val="2"/>
          </w:tcPr>
          <w:p w14:paraId="5229AC8A" w14:textId="07804D77" w:rsidR="0046717D" w:rsidRDefault="00766726" w:rsidP="0010342E">
            <w:pPr>
              <w:tabs>
                <w:tab w:val="center" w:pos="912"/>
                <w:tab w:val="center" w:pos="3720"/>
              </w:tabs>
              <w:spacing w:after="313" w:line="259" w:lineRule="auto"/>
              <w:ind w:left="0" w:firstLine="0"/>
              <w:rPr>
                <w:color w:val="auto"/>
                <w:sz w:val="28"/>
              </w:rPr>
            </w:pPr>
            <w:r>
              <w:rPr>
                <w:color w:val="auto"/>
                <w:sz w:val="28"/>
              </w:rPr>
              <w:t>Updating and Higher Technical Qualification status</w:t>
            </w:r>
          </w:p>
        </w:tc>
      </w:tr>
      <w:tr w:rsidR="0046717D" w14:paraId="3B192940" w14:textId="77777777" w:rsidTr="0010342E">
        <w:tc>
          <w:tcPr>
            <w:tcW w:w="1853" w:type="dxa"/>
          </w:tcPr>
          <w:p w14:paraId="0971EC67" w14:textId="3BEEFD1A" w:rsidR="0046717D" w:rsidRDefault="00CC0C42" w:rsidP="0010342E">
            <w:pPr>
              <w:tabs>
                <w:tab w:val="center" w:pos="912"/>
                <w:tab w:val="center" w:pos="3720"/>
              </w:tabs>
              <w:spacing w:after="313" w:line="259" w:lineRule="auto"/>
              <w:ind w:left="0" w:firstLine="0"/>
              <w:jc w:val="center"/>
              <w:rPr>
                <w:color w:val="auto"/>
                <w:sz w:val="28"/>
              </w:rPr>
            </w:pPr>
            <w:r>
              <w:rPr>
                <w:color w:val="auto"/>
                <w:sz w:val="28"/>
              </w:rPr>
              <w:t>2.2</w:t>
            </w:r>
          </w:p>
        </w:tc>
        <w:tc>
          <w:tcPr>
            <w:tcW w:w="7876" w:type="dxa"/>
            <w:gridSpan w:val="2"/>
          </w:tcPr>
          <w:p w14:paraId="7286DEAB" w14:textId="5BACBFA3" w:rsidR="0046717D" w:rsidRDefault="00766726" w:rsidP="0010342E">
            <w:pPr>
              <w:tabs>
                <w:tab w:val="center" w:pos="912"/>
                <w:tab w:val="center" w:pos="3720"/>
              </w:tabs>
              <w:spacing w:after="313" w:line="259" w:lineRule="auto"/>
              <w:ind w:left="0" w:firstLine="0"/>
              <w:rPr>
                <w:color w:val="auto"/>
                <w:sz w:val="28"/>
              </w:rPr>
            </w:pPr>
            <w:r>
              <w:rPr>
                <w:color w:val="auto"/>
                <w:sz w:val="28"/>
              </w:rPr>
              <w:t>Role of the Education &amp; Training Foundation</w:t>
            </w:r>
          </w:p>
        </w:tc>
      </w:tr>
      <w:tr w:rsidR="0046717D" w14:paraId="3EA8027E" w14:textId="77777777" w:rsidTr="0010342E">
        <w:tc>
          <w:tcPr>
            <w:tcW w:w="1853" w:type="dxa"/>
          </w:tcPr>
          <w:p w14:paraId="4F506214" w14:textId="2403A603" w:rsidR="0046717D" w:rsidRDefault="00CC0C42" w:rsidP="0010342E">
            <w:pPr>
              <w:tabs>
                <w:tab w:val="center" w:pos="912"/>
                <w:tab w:val="center" w:pos="3720"/>
              </w:tabs>
              <w:spacing w:after="313" w:line="259" w:lineRule="auto"/>
              <w:ind w:left="0" w:firstLine="0"/>
              <w:jc w:val="right"/>
              <w:rPr>
                <w:color w:val="auto"/>
                <w:sz w:val="28"/>
              </w:rPr>
            </w:pPr>
            <w:r>
              <w:rPr>
                <w:color w:val="auto"/>
                <w:sz w:val="28"/>
              </w:rPr>
              <w:t>2.2.1</w:t>
            </w:r>
          </w:p>
        </w:tc>
        <w:tc>
          <w:tcPr>
            <w:tcW w:w="3938" w:type="dxa"/>
          </w:tcPr>
          <w:p w14:paraId="59CF6D55" w14:textId="507250EE" w:rsidR="0046717D" w:rsidRDefault="00CD75F6" w:rsidP="00CD75F6">
            <w:pPr>
              <w:tabs>
                <w:tab w:val="center" w:pos="912"/>
                <w:tab w:val="center" w:pos="3720"/>
              </w:tabs>
              <w:spacing w:after="313" w:line="259" w:lineRule="auto"/>
              <w:ind w:left="0" w:firstLine="0"/>
              <w:rPr>
                <w:color w:val="auto"/>
                <w:sz w:val="28"/>
              </w:rPr>
            </w:pPr>
            <w:r>
              <w:rPr>
                <w:color w:val="auto"/>
                <w:sz w:val="28"/>
              </w:rPr>
              <w:t xml:space="preserve">     </w:t>
            </w:r>
            <w:r w:rsidR="00766726">
              <w:rPr>
                <w:color w:val="auto"/>
                <w:sz w:val="28"/>
              </w:rPr>
              <w:t>Qualification &amp; regulations</w:t>
            </w:r>
          </w:p>
        </w:tc>
        <w:tc>
          <w:tcPr>
            <w:tcW w:w="3938" w:type="dxa"/>
          </w:tcPr>
          <w:p w14:paraId="05A24E71" w14:textId="77777777" w:rsidR="0046717D" w:rsidRDefault="0046717D" w:rsidP="0010342E">
            <w:pPr>
              <w:tabs>
                <w:tab w:val="center" w:pos="912"/>
                <w:tab w:val="center" w:pos="3720"/>
              </w:tabs>
              <w:spacing w:after="313" w:line="259" w:lineRule="auto"/>
              <w:ind w:left="0" w:firstLine="0"/>
              <w:jc w:val="center"/>
              <w:rPr>
                <w:color w:val="auto"/>
                <w:sz w:val="28"/>
              </w:rPr>
            </w:pPr>
          </w:p>
        </w:tc>
      </w:tr>
      <w:tr w:rsidR="00824F32" w14:paraId="75BACE37" w14:textId="77777777" w:rsidTr="0010342E">
        <w:tc>
          <w:tcPr>
            <w:tcW w:w="1853" w:type="dxa"/>
          </w:tcPr>
          <w:p w14:paraId="4A1D7C6D" w14:textId="696361C3" w:rsidR="00824F32" w:rsidRDefault="00824F32" w:rsidP="0010342E">
            <w:pPr>
              <w:tabs>
                <w:tab w:val="center" w:pos="912"/>
                <w:tab w:val="center" w:pos="3720"/>
              </w:tabs>
              <w:spacing w:after="313" w:line="259" w:lineRule="auto"/>
              <w:ind w:left="0" w:firstLine="0"/>
              <w:jc w:val="right"/>
              <w:rPr>
                <w:color w:val="auto"/>
                <w:sz w:val="28"/>
              </w:rPr>
            </w:pPr>
            <w:r>
              <w:rPr>
                <w:color w:val="auto"/>
                <w:sz w:val="28"/>
              </w:rPr>
              <w:t>2.2.2</w:t>
            </w:r>
          </w:p>
        </w:tc>
        <w:tc>
          <w:tcPr>
            <w:tcW w:w="3938" w:type="dxa"/>
          </w:tcPr>
          <w:p w14:paraId="683B39C9" w14:textId="51AE5562" w:rsidR="00824F32" w:rsidRDefault="00CD75F6" w:rsidP="00CD75F6">
            <w:pPr>
              <w:tabs>
                <w:tab w:val="center" w:pos="912"/>
                <w:tab w:val="center" w:pos="3720"/>
              </w:tabs>
              <w:spacing w:after="313" w:line="259" w:lineRule="auto"/>
              <w:ind w:left="0" w:firstLine="0"/>
              <w:rPr>
                <w:color w:val="auto"/>
                <w:sz w:val="28"/>
              </w:rPr>
            </w:pPr>
            <w:r>
              <w:rPr>
                <w:color w:val="auto"/>
                <w:sz w:val="28"/>
              </w:rPr>
              <w:t xml:space="preserve">     </w:t>
            </w:r>
            <w:r w:rsidR="00824F32">
              <w:rPr>
                <w:color w:val="auto"/>
                <w:sz w:val="28"/>
              </w:rPr>
              <w:t>Professional Standards</w:t>
            </w:r>
          </w:p>
        </w:tc>
        <w:tc>
          <w:tcPr>
            <w:tcW w:w="3938" w:type="dxa"/>
          </w:tcPr>
          <w:p w14:paraId="4324CC34" w14:textId="77777777" w:rsidR="00824F32" w:rsidRDefault="00824F32" w:rsidP="0010342E">
            <w:pPr>
              <w:tabs>
                <w:tab w:val="center" w:pos="912"/>
                <w:tab w:val="center" w:pos="3720"/>
              </w:tabs>
              <w:spacing w:after="313" w:line="259" w:lineRule="auto"/>
              <w:ind w:left="0" w:firstLine="0"/>
              <w:jc w:val="center"/>
              <w:rPr>
                <w:color w:val="auto"/>
                <w:sz w:val="28"/>
              </w:rPr>
            </w:pPr>
          </w:p>
        </w:tc>
      </w:tr>
      <w:tr w:rsidR="00824F32" w14:paraId="3BF70A7E" w14:textId="77777777" w:rsidTr="0010342E">
        <w:tc>
          <w:tcPr>
            <w:tcW w:w="1853" w:type="dxa"/>
          </w:tcPr>
          <w:p w14:paraId="2D0A49DE" w14:textId="28E7CE68" w:rsidR="00824F32" w:rsidRDefault="00824F32" w:rsidP="0010342E">
            <w:pPr>
              <w:tabs>
                <w:tab w:val="center" w:pos="912"/>
                <w:tab w:val="center" w:pos="3720"/>
              </w:tabs>
              <w:spacing w:after="313" w:line="259" w:lineRule="auto"/>
              <w:ind w:left="0" w:firstLine="0"/>
              <w:jc w:val="center"/>
              <w:rPr>
                <w:color w:val="auto"/>
                <w:sz w:val="28"/>
              </w:rPr>
            </w:pPr>
            <w:r>
              <w:rPr>
                <w:color w:val="auto"/>
                <w:sz w:val="28"/>
              </w:rPr>
              <w:t>2.3</w:t>
            </w:r>
          </w:p>
        </w:tc>
        <w:tc>
          <w:tcPr>
            <w:tcW w:w="7876" w:type="dxa"/>
            <w:gridSpan w:val="2"/>
          </w:tcPr>
          <w:p w14:paraId="7EC08D3B" w14:textId="44613015" w:rsidR="00824F32" w:rsidRDefault="00824F32" w:rsidP="0010342E">
            <w:pPr>
              <w:tabs>
                <w:tab w:val="center" w:pos="912"/>
                <w:tab w:val="center" w:pos="3720"/>
              </w:tabs>
              <w:spacing w:after="313" w:line="259" w:lineRule="auto"/>
              <w:ind w:left="0" w:firstLine="0"/>
              <w:rPr>
                <w:color w:val="auto"/>
                <w:sz w:val="28"/>
              </w:rPr>
            </w:pPr>
            <w:r>
              <w:rPr>
                <w:color w:val="auto"/>
                <w:sz w:val="28"/>
              </w:rPr>
              <w:t>Policy context</w:t>
            </w:r>
          </w:p>
        </w:tc>
      </w:tr>
      <w:tr w:rsidR="00824F32" w14:paraId="0E61CCB8" w14:textId="77777777" w:rsidTr="0010342E">
        <w:tc>
          <w:tcPr>
            <w:tcW w:w="1853" w:type="dxa"/>
          </w:tcPr>
          <w:p w14:paraId="0F5A5992" w14:textId="1D6ED471" w:rsidR="00824F32" w:rsidRDefault="00824F32" w:rsidP="0010342E">
            <w:pPr>
              <w:tabs>
                <w:tab w:val="center" w:pos="912"/>
                <w:tab w:val="center" w:pos="3720"/>
              </w:tabs>
              <w:spacing w:after="313" w:line="259" w:lineRule="auto"/>
              <w:ind w:left="0" w:firstLine="0"/>
              <w:jc w:val="right"/>
              <w:rPr>
                <w:color w:val="auto"/>
                <w:sz w:val="28"/>
              </w:rPr>
            </w:pPr>
            <w:r>
              <w:rPr>
                <w:color w:val="auto"/>
                <w:sz w:val="28"/>
              </w:rPr>
              <w:t>2.3.1</w:t>
            </w:r>
          </w:p>
        </w:tc>
        <w:tc>
          <w:tcPr>
            <w:tcW w:w="3938" w:type="dxa"/>
          </w:tcPr>
          <w:p w14:paraId="182AE8B1" w14:textId="257A19E1" w:rsidR="00824F32" w:rsidRDefault="00CD75F6" w:rsidP="00CD75F6">
            <w:pPr>
              <w:tabs>
                <w:tab w:val="center" w:pos="912"/>
                <w:tab w:val="center" w:pos="3720"/>
              </w:tabs>
              <w:spacing w:after="313" w:line="259" w:lineRule="auto"/>
              <w:ind w:left="0" w:firstLine="0"/>
              <w:rPr>
                <w:color w:val="auto"/>
                <w:sz w:val="28"/>
              </w:rPr>
            </w:pPr>
            <w:r>
              <w:rPr>
                <w:color w:val="auto"/>
                <w:sz w:val="28"/>
              </w:rPr>
              <w:t xml:space="preserve">     </w:t>
            </w:r>
            <w:r w:rsidR="00824F32">
              <w:rPr>
                <w:color w:val="auto"/>
                <w:sz w:val="28"/>
              </w:rPr>
              <w:t>Government priorities</w:t>
            </w:r>
          </w:p>
        </w:tc>
        <w:tc>
          <w:tcPr>
            <w:tcW w:w="3938" w:type="dxa"/>
          </w:tcPr>
          <w:p w14:paraId="412DA00C" w14:textId="77777777" w:rsidR="00824F32" w:rsidRDefault="00824F32" w:rsidP="0010342E">
            <w:pPr>
              <w:tabs>
                <w:tab w:val="center" w:pos="912"/>
                <w:tab w:val="center" w:pos="3720"/>
              </w:tabs>
              <w:spacing w:after="313" w:line="259" w:lineRule="auto"/>
              <w:ind w:left="0" w:firstLine="0"/>
              <w:jc w:val="center"/>
              <w:rPr>
                <w:color w:val="auto"/>
                <w:sz w:val="28"/>
              </w:rPr>
            </w:pPr>
          </w:p>
        </w:tc>
      </w:tr>
    </w:tbl>
    <w:p w14:paraId="52963404" w14:textId="2BD532AE" w:rsidR="00A854F9" w:rsidRPr="00056393" w:rsidRDefault="00A854F9">
      <w:pPr>
        <w:spacing w:after="307" w:line="259" w:lineRule="auto"/>
        <w:ind w:left="0" w:firstLine="0"/>
        <w:rPr>
          <w:color w:val="auto"/>
        </w:rPr>
      </w:pPr>
    </w:p>
    <w:p w14:paraId="67565F88" w14:textId="69DAFAF1" w:rsidR="00A854F9" w:rsidRPr="00056393" w:rsidRDefault="006644B5" w:rsidP="00C57F6E">
      <w:pPr>
        <w:tabs>
          <w:tab w:val="center" w:pos="7922"/>
          <w:tab w:val="right" w:pos="9802"/>
        </w:tabs>
        <w:spacing w:after="316" w:line="259" w:lineRule="auto"/>
        <w:ind w:left="-15" w:firstLine="0"/>
        <w:rPr>
          <w:color w:val="auto"/>
        </w:rPr>
      </w:pPr>
      <w:r w:rsidRPr="00056393">
        <w:rPr>
          <w:b/>
          <w:color w:val="auto"/>
          <w:sz w:val="28"/>
        </w:rPr>
        <w:t xml:space="preserve">Section 3 </w:t>
      </w:r>
      <w:r w:rsidR="00A26490">
        <w:rPr>
          <w:b/>
          <w:color w:val="auto"/>
          <w:sz w:val="28"/>
        </w:rPr>
        <w:t xml:space="preserve"> </w:t>
      </w:r>
      <w:r w:rsidRPr="00056393">
        <w:rPr>
          <w:b/>
          <w:color w:val="auto"/>
          <w:sz w:val="28"/>
        </w:rPr>
        <w:t xml:space="preserve">Guidance for </w:t>
      </w:r>
      <w:r w:rsidR="005D61B5">
        <w:rPr>
          <w:b/>
          <w:color w:val="auto"/>
          <w:sz w:val="28"/>
        </w:rPr>
        <w:t>Awarding Organisations</w:t>
      </w:r>
      <w:r w:rsidRPr="00056393">
        <w:rPr>
          <w:b/>
          <w:color w:val="auto"/>
          <w:sz w:val="28"/>
        </w:rPr>
        <w:t xml:space="preserve"> </w:t>
      </w:r>
      <w:r w:rsidRPr="00056393">
        <w:rPr>
          <w:b/>
          <w:color w:val="auto"/>
          <w:sz w:val="28"/>
        </w:rPr>
        <w:tab/>
      </w:r>
      <w:r w:rsidR="00203462">
        <w:rPr>
          <w:b/>
          <w:color w:val="auto"/>
          <w:sz w:val="28"/>
        </w:rPr>
        <w:t xml:space="preserve">                                    8  </w:t>
      </w:r>
      <w:r w:rsidRPr="00056393">
        <w:rPr>
          <w:b/>
          <w:color w:val="auto"/>
          <w:sz w:val="28"/>
        </w:rPr>
        <w:t xml:space="preserve"> </w:t>
      </w:r>
      <w:r w:rsidRPr="00056393">
        <w:rPr>
          <w:b/>
          <w:color w:val="auto"/>
          <w:sz w:val="28"/>
        </w:rPr>
        <w:tab/>
        <w:t xml:space="preserve"> </w:t>
      </w:r>
      <w:r w:rsidRPr="00056393">
        <w:rPr>
          <w:b/>
          <w:color w:val="auto"/>
          <w:sz w:val="28"/>
        </w:rPr>
        <w:tab/>
        <w:t xml:space="preserve"> </w:t>
      </w:r>
    </w:p>
    <w:p w14:paraId="779BDBB0" w14:textId="77777777" w:rsidR="00A854F9" w:rsidRPr="00056393" w:rsidRDefault="006644B5">
      <w:pPr>
        <w:tabs>
          <w:tab w:val="center" w:pos="897"/>
          <w:tab w:val="center" w:pos="2520"/>
        </w:tabs>
        <w:spacing w:after="313" w:line="259" w:lineRule="auto"/>
        <w:ind w:left="-15" w:firstLine="0"/>
        <w:rPr>
          <w:color w:val="auto"/>
        </w:rPr>
      </w:pPr>
      <w:r w:rsidRPr="00056393">
        <w:rPr>
          <w:color w:val="auto"/>
          <w:sz w:val="28"/>
        </w:rPr>
        <w:t xml:space="preserve"> </w:t>
      </w:r>
      <w:r w:rsidRPr="00056393">
        <w:rPr>
          <w:color w:val="auto"/>
          <w:sz w:val="28"/>
        </w:rPr>
        <w:tab/>
        <w:t xml:space="preserve">3.1 </w:t>
      </w:r>
      <w:r w:rsidRPr="00056393">
        <w:rPr>
          <w:color w:val="auto"/>
          <w:sz w:val="28"/>
        </w:rPr>
        <w:tab/>
        <w:t xml:space="preserve">General guidance </w:t>
      </w:r>
    </w:p>
    <w:p w14:paraId="023B622F" w14:textId="615C5873" w:rsidR="00863F48" w:rsidRPr="00863F48" w:rsidRDefault="006644B5" w:rsidP="00863F48">
      <w:pPr>
        <w:tabs>
          <w:tab w:val="center" w:pos="915"/>
          <w:tab w:val="center" w:pos="3912"/>
        </w:tabs>
        <w:spacing w:after="313" w:line="259" w:lineRule="auto"/>
        <w:ind w:left="-15" w:firstLine="0"/>
        <w:rPr>
          <w:color w:val="auto"/>
          <w:sz w:val="28"/>
        </w:rPr>
      </w:pPr>
      <w:r w:rsidRPr="00056393">
        <w:rPr>
          <w:color w:val="auto"/>
          <w:sz w:val="28"/>
        </w:rPr>
        <w:t xml:space="preserve"> </w:t>
      </w:r>
      <w:r w:rsidR="00125A0F">
        <w:rPr>
          <w:color w:val="auto"/>
          <w:sz w:val="28"/>
        </w:rPr>
        <w:t xml:space="preserve">         </w:t>
      </w:r>
      <w:r w:rsidRPr="00056393">
        <w:rPr>
          <w:color w:val="auto"/>
          <w:sz w:val="28"/>
        </w:rPr>
        <w:tab/>
      </w:r>
      <w:r w:rsidR="00125A0F">
        <w:rPr>
          <w:color w:val="auto"/>
          <w:sz w:val="28"/>
        </w:rPr>
        <w:t xml:space="preserve"> </w:t>
      </w:r>
      <w:r w:rsidRPr="00056393">
        <w:rPr>
          <w:color w:val="auto"/>
          <w:sz w:val="28"/>
        </w:rPr>
        <w:t xml:space="preserve">3.2 </w:t>
      </w:r>
      <w:r w:rsidR="00125A0F">
        <w:rPr>
          <w:color w:val="auto"/>
          <w:sz w:val="28"/>
        </w:rPr>
        <w:t xml:space="preserve">    </w:t>
      </w:r>
      <w:r w:rsidRPr="00056393">
        <w:rPr>
          <w:color w:val="auto"/>
          <w:sz w:val="28"/>
        </w:rPr>
        <w:t xml:space="preserve">Core knowledge and skills  </w:t>
      </w:r>
    </w:p>
    <w:p w14:paraId="30AAFE72" w14:textId="70471966" w:rsidR="00A854F9" w:rsidRPr="00056393" w:rsidRDefault="006644B5">
      <w:pPr>
        <w:tabs>
          <w:tab w:val="center" w:pos="913"/>
          <w:tab w:val="center" w:pos="2351"/>
        </w:tabs>
        <w:spacing w:after="313" w:line="259" w:lineRule="auto"/>
        <w:ind w:left="-15" w:firstLine="0"/>
        <w:rPr>
          <w:color w:val="auto"/>
        </w:rPr>
      </w:pPr>
      <w:r w:rsidRPr="00056393">
        <w:rPr>
          <w:color w:val="auto"/>
          <w:sz w:val="28"/>
        </w:rPr>
        <w:t xml:space="preserve"> </w:t>
      </w:r>
      <w:r w:rsidRPr="00056393">
        <w:rPr>
          <w:color w:val="auto"/>
          <w:sz w:val="28"/>
        </w:rPr>
        <w:tab/>
        <w:t xml:space="preserve">3.3 </w:t>
      </w:r>
      <w:r w:rsidRPr="00056393">
        <w:rPr>
          <w:color w:val="auto"/>
          <w:sz w:val="28"/>
        </w:rPr>
        <w:tab/>
      </w:r>
      <w:r w:rsidR="00421463">
        <w:rPr>
          <w:color w:val="auto"/>
          <w:sz w:val="28"/>
        </w:rPr>
        <w:t xml:space="preserve">    </w:t>
      </w:r>
      <w:r w:rsidR="00125A0F">
        <w:rPr>
          <w:color w:val="auto"/>
          <w:sz w:val="28"/>
        </w:rPr>
        <w:t>Study &amp; placement hours</w:t>
      </w:r>
      <w:r w:rsidRPr="00056393">
        <w:rPr>
          <w:color w:val="auto"/>
          <w:sz w:val="28"/>
        </w:rPr>
        <w:t xml:space="preserve"> </w:t>
      </w:r>
    </w:p>
    <w:p w14:paraId="2AF02A64" w14:textId="77116E6B" w:rsidR="00A854F9" w:rsidRPr="00056393" w:rsidRDefault="00421463" w:rsidP="00421463">
      <w:pPr>
        <w:tabs>
          <w:tab w:val="center" w:pos="916"/>
          <w:tab w:val="center" w:pos="3174"/>
        </w:tabs>
        <w:spacing w:after="313" w:line="259" w:lineRule="auto"/>
        <w:rPr>
          <w:color w:val="auto"/>
        </w:rPr>
      </w:pPr>
      <w:r>
        <w:rPr>
          <w:color w:val="auto"/>
          <w:sz w:val="28"/>
        </w:rPr>
        <w:tab/>
        <w:t xml:space="preserve">           </w:t>
      </w:r>
      <w:r w:rsidR="006644B5" w:rsidRPr="00056393">
        <w:rPr>
          <w:color w:val="auto"/>
          <w:sz w:val="28"/>
        </w:rPr>
        <w:t>3.4</w:t>
      </w:r>
      <w:r>
        <w:rPr>
          <w:color w:val="auto"/>
          <w:sz w:val="28"/>
        </w:rPr>
        <w:t xml:space="preserve">     Mentoring</w:t>
      </w:r>
      <w:r w:rsidR="006644B5" w:rsidRPr="00056393">
        <w:rPr>
          <w:color w:val="auto"/>
          <w:sz w:val="28"/>
        </w:rPr>
        <w:t xml:space="preserve"> </w:t>
      </w:r>
    </w:p>
    <w:p w14:paraId="68D2A077" w14:textId="5D3A0E43" w:rsidR="00A854F9" w:rsidRPr="00056393" w:rsidRDefault="006644B5" w:rsidP="00B74486">
      <w:pPr>
        <w:tabs>
          <w:tab w:val="center" w:pos="910"/>
          <w:tab w:val="center" w:pos="3266"/>
        </w:tabs>
        <w:spacing w:after="313" w:line="259" w:lineRule="auto"/>
        <w:ind w:left="-15" w:firstLine="0"/>
        <w:rPr>
          <w:color w:val="auto"/>
        </w:rPr>
      </w:pPr>
      <w:r w:rsidRPr="00056393">
        <w:rPr>
          <w:color w:val="auto"/>
          <w:sz w:val="28"/>
        </w:rPr>
        <w:t xml:space="preserve"> </w:t>
      </w:r>
      <w:r w:rsidRPr="00056393">
        <w:rPr>
          <w:color w:val="auto"/>
          <w:sz w:val="28"/>
        </w:rPr>
        <w:tab/>
        <w:t xml:space="preserve"> </w:t>
      </w:r>
    </w:p>
    <w:p w14:paraId="7362F355" w14:textId="77777777" w:rsidR="00A854F9" w:rsidRPr="00056393" w:rsidRDefault="006644B5">
      <w:pPr>
        <w:spacing w:after="305" w:line="259" w:lineRule="auto"/>
        <w:ind w:left="0" w:firstLine="0"/>
        <w:rPr>
          <w:color w:val="auto"/>
        </w:rPr>
      </w:pPr>
      <w:r w:rsidRPr="00056393">
        <w:rPr>
          <w:color w:val="auto"/>
          <w:sz w:val="28"/>
        </w:rPr>
        <w:t xml:space="preserve"> </w:t>
      </w:r>
    </w:p>
    <w:p w14:paraId="361DF89E" w14:textId="77777777" w:rsidR="00A854F9" w:rsidRPr="00056393" w:rsidRDefault="006644B5">
      <w:pPr>
        <w:spacing w:after="0" w:line="259" w:lineRule="auto"/>
        <w:ind w:left="0" w:firstLine="0"/>
        <w:rPr>
          <w:color w:val="auto"/>
        </w:rPr>
      </w:pPr>
      <w:r w:rsidRPr="00056393">
        <w:rPr>
          <w:b/>
          <w:color w:val="auto"/>
          <w:sz w:val="28"/>
        </w:rPr>
        <w:lastRenderedPageBreak/>
        <w:t xml:space="preserve"> </w:t>
      </w:r>
      <w:r w:rsidRPr="00056393">
        <w:rPr>
          <w:b/>
          <w:color w:val="auto"/>
          <w:sz w:val="28"/>
        </w:rPr>
        <w:tab/>
        <w:t xml:space="preserve"> </w:t>
      </w:r>
    </w:p>
    <w:p w14:paraId="0904B8D6" w14:textId="10D9E411" w:rsidR="00A854F9" w:rsidRPr="00056393" w:rsidRDefault="006644B5" w:rsidP="00421463">
      <w:pPr>
        <w:tabs>
          <w:tab w:val="center" w:pos="7201"/>
          <w:tab w:val="right" w:pos="9802"/>
        </w:tabs>
        <w:spacing w:after="137" w:line="259" w:lineRule="auto"/>
        <w:ind w:left="-15" w:firstLine="0"/>
        <w:rPr>
          <w:color w:val="auto"/>
        </w:rPr>
      </w:pPr>
      <w:r w:rsidRPr="00056393">
        <w:rPr>
          <w:b/>
          <w:color w:val="auto"/>
          <w:sz w:val="28"/>
        </w:rPr>
        <w:t xml:space="preserve">Section 4 </w:t>
      </w:r>
      <w:r w:rsidR="00A26490">
        <w:rPr>
          <w:b/>
          <w:color w:val="auto"/>
          <w:sz w:val="28"/>
        </w:rPr>
        <w:t xml:space="preserve"> </w:t>
      </w:r>
      <w:r w:rsidR="00421463">
        <w:rPr>
          <w:b/>
          <w:color w:val="auto"/>
          <w:sz w:val="28"/>
        </w:rPr>
        <w:t>The qualification outlined</w:t>
      </w:r>
      <w:r w:rsidR="0039200D">
        <w:rPr>
          <w:b/>
          <w:color w:val="auto"/>
          <w:sz w:val="28"/>
        </w:rPr>
        <w:tab/>
      </w:r>
      <w:r w:rsidR="0039200D">
        <w:rPr>
          <w:b/>
          <w:color w:val="auto"/>
          <w:sz w:val="28"/>
        </w:rPr>
        <w:tab/>
        <w:t>10</w:t>
      </w:r>
    </w:p>
    <w:p w14:paraId="0EF70514" w14:textId="438B271B" w:rsidR="00A854F9" w:rsidRPr="00056393" w:rsidRDefault="00A854F9">
      <w:pPr>
        <w:spacing w:after="145" w:line="259" w:lineRule="auto"/>
        <w:ind w:left="1440" w:firstLine="0"/>
        <w:rPr>
          <w:color w:val="auto"/>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3938"/>
        <w:gridCol w:w="3938"/>
      </w:tblGrid>
      <w:tr w:rsidR="00A72B6F" w14:paraId="1957FDE3" w14:textId="77777777" w:rsidTr="0046717D">
        <w:tc>
          <w:tcPr>
            <w:tcW w:w="1853" w:type="dxa"/>
          </w:tcPr>
          <w:p w14:paraId="61F3833B" w14:textId="246AB996" w:rsidR="00A72B6F" w:rsidRDefault="007E0170" w:rsidP="004357B0">
            <w:pPr>
              <w:tabs>
                <w:tab w:val="center" w:pos="912"/>
                <w:tab w:val="center" w:pos="3720"/>
              </w:tabs>
              <w:spacing w:after="313" w:line="259" w:lineRule="auto"/>
              <w:ind w:left="0" w:firstLine="0"/>
              <w:jc w:val="center"/>
              <w:rPr>
                <w:color w:val="auto"/>
                <w:sz w:val="28"/>
              </w:rPr>
            </w:pPr>
            <w:r>
              <w:rPr>
                <w:color w:val="auto"/>
                <w:sz w:val="28"/>
              </w:rPr>
              <w:t>4.1</w:t>
            </w:r>
          </w:p>
        </w:tc>
        <w:tc>
          <w:tcPr>
            <w:tcW w:w="7876" w:type="dxa"/>
            <w:gridSpan w:val="2"/>
          </w:tcPr>
          <w:p w14:paraId="55FE56E2" w14:textId="65BF6273" w:rsidR="00A72B6F" w:rsidRDefault="00124E99" w:rsidP="00B74486">
            <w:pPr>
              <w:tabs>
                <w:tab w:val="center" w:pos="912"/>
                <w:tab w:val="center" w:pos="3720"/>
              </w:tabs>
              <w:spacing w:after="313" w:line="259" w:lineRule="auto"/>
              <w:ind w:left="0" w:firstLine="0"/>
              <w:rPr>
                <w:color w:val="auto"/>
                <w:sz w:val="28"/>
              </w:rPr>
            </w:pPr>
            <w:r>
              <w:rPr>
                <w:color w:val="auto"/>
                <w:sz w:val="28"/>
              </w:rPr>
              <w:t>Structure</w:t>
            </w:r>
          </w:p>
        </w:tc>
      </w:tr>
      <w:tr w:rsidR="00124E99" w14:paraId="6C4586CC" w14:textId="77777777" w:rsidTr="0046717D">
        <w:tc>
          <w:tcPr>
            <w:tcW w:w="1853" w:type="dxa"/>
          </w:tcPr>
          <w:p w14:paraId="5FB3A283" w14:textId="2907B570" w:rsidR="00124E99" w:rsidRDefault="00124E99" w:rsidP="00124E99">
            <w:pPr>
              <w:tabs>
                <w:tab w:val="center" w:pos="912"/>
                <w:tab w:val="center" w:pos="3720"/>
              </w:tabs>
              <w:spacing w:after="313" w:line="259" w:lineRule="auto"/>
              <w:ind w:left="0" w:firstLine="0"/>
              <w:jc w:val="center"/>
              <w:rPr>
                <w:color w:val="auto"/>
                <w:sz w:val="28"/>
              </w:rPr>
            </w:pPr>
            <w:r>
              <w:rPr>
                <w:color w:val="auto"/>
                <w:sz w:val="28"/>
              </w:rPr>
              <w:t>4.2</w:t>
            </w:r>
          </w:p>
        </w:tc>
        <w:tc>
          <w:tcPr>
            <w:tcW w:w="7876" w:type="dxa"/>
            <w:gridSpan w:val="2"/>
          </w:tcPr>
          <w:p w14:paraId="096E6C83" w14:textId="3C5941D8" w:rsidR="00124E99" w:rsidRDefault="00124E99" w:rsidP="00124E99">
            <w:pPr>
              <w:tabs>
                <w:tab w:val="center" w:pos="912"/>
                <w:tab w:val="center" w:pos="3720"/>
              </w:tabs>
              <w:spacing w:after="313" w:line="259" w:lineRule="auto"/>
              <w:ind w:left="0" w:firstLine="0"/>
              <w:rPr>
                <w:color w:val="auto"/>
                <w:sz w:val="28"/>
              </w:rPr>
            </w:pPr>
            <w:r>
              <w:rPr>
                <w:color w:val="auto"/>
                <w:sz w:val="28"/>
              </w:rPr>
              <w:t>Core units</w:t>
            </w:r>
          </w:p>
        </w:tc>
      </w:tr>
      <w:tr w:rsidR="00124E99" w14:paraId="660D4D06" w14:textId="77777777" w:rsidTr="0046717D">
        <w:tc>
          <w:tcPr>
            <w:tcW w:w="1853" w:type="dxa"/>
          </w:tcPr>
          <w:p w14:paraId="42513C91" w14:textId="3B9791EA" w:rsidR="00124E99" w:rsidRDefault="00124E99" w:rsidP="00124E99">
            <w:pPr>
              <w:tabs>
                <w:tab w:val="center" w:pos="912"/>
                <w:tab w:val="center" w:pos="3720"/>
              </w:tabs>
              <w:spacing w:after="313" w:line="259" w:lineRule="auto"/>
              <w:ind w:left="0" w:firstLine="0"/>
              <w:jc w:val="center"/>
              <w:rPr>
                <w:color w:val="auto"/>
                <w:sz w:val="28"/>
              </w:rPr>
            </w:pPr>
            <w:r>
              <w:rPr>
                <w:color w:val="auto"/>
                <w:sz w:val="28"/>
              </w:rPr>
              <w:t>4.3</w:t>
            </w:r>
          </w:p>
        </w:tc>
        <w:tc>
          <w:tcPr>
            <w:tcW w:w="7876" w:type="dxa"/>
            <w:gridSpan w:val="2"/>
          </w:tcPr>
          <w:p w14:paraId="418D5547" w14:textId="473FBFF4" w:rsidR="00124E99" w:rsidRDefault="00124E99" w:rsidP="00124E99">
            <w:pPr>
              <w:tabs>
                <w:tab w:val="center" w:pos="912"/>
                <w:tab w:val="center" w:pos="3720"/>
              </w:tabs>
              <w:spacing w:after="313" w:line="259" w:lineRule="auto"/>
              <w:ind w:left="0" w:firstLine="0"/>
              <w:rPr>
                <w:color w:val="auto"/>
                <w:sz w:val="28"/>
              </w:rPr>
            </w:pPr>
            <w:r>
              <w:rPr>
                <w:color w:val="auto"/>
                <w:sz w:val="28"/>
              </w:rPr>
              <w:t>Options units</w:t>
            </w:r>
          </w:p>
        </w:tc>
      </w:tr>
      <w:tr w:rsidR="00124E99" w14:paraId="56D7051D" w14:textId="77777777" w:rsidTr="0046717D">
        <w:tc>
          <w:tcPr>
            <w:tcW w:w="1853" w:type="dxa"/>
          </w:tcPr>
          <w:p w14:paraId="2750BCEB" w14:textId="0C8BA1B4" w:rsidR="00124E99" w:rsidRDefault="00124E99" w:rsidP="00124E99">
            <w:pPr>
              <w:tabs>
                <w:tab w:val="center" w:pos="912"/>
                <w:tab w:val="center" w:pos="3720"/>
              </w:tabs>
              <w:spacing w:after="313" w:line="259" w:lineRule="auto"/>
              <w:ind w:left="0" w:firstLine="0"/>
              <w:jc w:val="center"/>
              <w:rPr>
                <w:color w:val="auto"/>
                <w:sz w:val="28"/>
              </w:rPr>
            </w:pPr>
            <w:r>
              <w:rPr>
                <w:color w:val="auto"/>
                <w:sz w:val="28"/>
              </w:rPr>
              <w:t>4.4</w:t>
            </w:r>
          </w:p>
        </w:tc>
        <w:tc>
          <w:tcPr>
            <w:tcW w:w="7876" w:type="dxa"/>
            <w:gridSpan w:val="2"/>
          </w:tcPr>
          <w:p w14:paraId="5F6C3FC3" w14:textId="73B3CE3A" w:rsidR="00124E99" w:rsidRDefault="00124E99" w:rsidP="00124E99">
            <w:pPr>
              <w:tabs>
                <w:tab w:val="center" w:pos="912"/>
                <w:tab w:val="center" w:pos="3720"/>
              </w:tabs>
              <w:spacing w:after="313" w:line="259" w:lineRule="auto"/>
              <w:ind w:left="0" w:firstLine="0"/>
              <w:rPr>
                <w:color w:val="auto"/>
                <w:sz w:val="28"/>
              </w:rPr>
            </w:pPr>
            <w:r>
              <w:rPr>
                <w:color w:val="auto"/>
                <w:sz w:val="28"/>
              </w:rPr>
              <w:t>Assessment</w:t>
            </w:r>
          </w:p>
        </w:tc>
      </w:tr>
      <w:tr w:rsidR="000A42FB" w14:paraId="462281C5" w14:textId="77777777" w:rsidTr="0046717D">
        <w:tc>
          <w:tcPr>
            <w:tcW w:w="1853" w:type="dxa"/>
          </w:tcPr>
          <w:p w14:paraId="11EC0B3F" w14:textId="0A4FF754" w:rsidR="000A42FB" w:rsidRDefault="000A42FB" w:rsidP="00124E99">
            <w:pPr>
              <w:tabs>
                <w:tab w:val="center" w:pos="912"/>
                <w:tab w:val="center" w:pos="3720"/>
              </w:tabs>
              <w:spacing w:after="313" w:line="259" w:lineRule="auto"/>
              <w:ind w:left="0" w:firstLine="0"/>
              <w:jc w:val="right"/>
              <w:rPr>
                <w:color w:val="auto"/>
                <w:sz w:val="28"/>
              </w:rPr>
            </w:pPr>
            <w:r>
              <w:rPr>
                <w:color w:val="auto"/>
                <w:sz w:val="28"/>
              </w:rPr>
              <w:t>4.4.1</w:t>
            </w:r>
          </w:p>
        </w:tc>
        <w:tc>
          <w:tcPr>
            <w:tcW w:w="3938" w:type="dxa"/>
          </w:tcPr>
          <w:p w14:paraId="000343B3" w14:textId="0C61758B" w:rsidR="000A42FB" w:rsidRDefault="00D74B18" w:rsidP="00D74B18">
            <w:pPr>
              <w:tabs>
                <w:tab w:val="center" w:pos="912"/>
                <w:tab w:val="center" w:pos="3720"/>
              </w:tabs>
              <w:spacing w:after="313" w:line="259" w:lineRule="auto"/>
              <w:ind w:left="0" w:firstLine="0"/>
              <w:rPr>
                <w:color w:val="auto"/>
                <w:sz w:val="28"/>
              </w:rPr>
            </w:pPr>
            <w:r>
              <w:rPr>
                <w:color w:val="auto"/>
                <w:sz w:val="28"/>
              </w:rPr>
              <w:t xml:space="preserve">     </w:t>
            </w:r>
            <w:r w:rsidR="000A42FB">
              <w:rPr>
                <w:color w:val="auto"/>
                <w:sz w:val="28"/>
              </w:rPr>
              <w:t>Observations</w:t>
            </w:r>
          </w:p>
        </w:tc>
        <w:tc>
          <w:tcPr>
            <w:tcW w:w="3938" w:type="dxa"/>
          </w:tcPr>
          <w:p w14:paraId="27781DF8" w14:textId="0521E2B7" w:rsidR="000A42FB" w:rsidRDefault="000A42FB" w:rsidP="000A42FB">
            <w:pPr>
              <w:tabs>
                <w:tab w:val="center" w:pos="912"/>
                <w:tab w:val="center" w:pos="3720"/>
              </w:tabs>
              <w:spacing w:after="313" w:line="259" w:lineRule="auto"/>
              <w:ind w:left="0" w:firstLine="0"/>
              <w:jc w:val="center"/>
              <w:rPr>
                <w:color w:val="auto"/>
                <w:sz w:val="28"/>
              </w:rPr>
            </w:pPr>
          </w:p>
        </w:tc>
      </w:tr>
      <w:tr w:rsidR="00124E99" w14:paraId="2487060F" w14:textId="77777777" w:rsidTr="0046717D">
        <w:tc>
          <w:tcPr>
            <w:tcW w:w="1853" w:type="dxa"/>
          </w:tcPr>
          <w:p w14:paraId="34D931C4" w14:textId="268D4D6E" w:rsidR="00124E99" w:rsidRDefault="00124E99" w:rsidP="00124E99">
            <w:pPr>
              <w:tabs>
                <w:tab w:val="center" w:pos="912"/>
                <w:tab w:val="center" w:pos="3720"/>
              </w:tabs>
              <w:spacing w:after="313" w:line="259" w:lineRule="auto"/>
              <w:ind w:left="0" w:firstLine="0"/>
              <w:jc w:val="center"/>
              <w:rPr>
                <w:color w:val="auto"/>
                <w:sz w:val="28"/>
              </w:rPr>
            </w:pPr>
            <w:r>
              <w:rPr>
                <w:color w:val="auto"/>
                <w:sz w:val="28"/>
              </w:rPr>
              <w:t>4.5</w:t>
            </w:r>
          </w:p>
        </w:tc>
        <w:tc>
          <w:tcPr>
            <w:tcW w:w="7876" w:type="dxa"/>
            <w:gridSpan w:val="2"/>
          </w:tcPr>
          <w:p w14:paraId="0B5705D2" w14:textId="44F0B3F4" w:rsidR="00124E99" w:rsidRDefault="00124E99" w:rsidP="00124E99">
            <w:pPr>
              <w:tabs>
                <w:tab w:val="center" w:pos="912"/>
                <w:tab w:val="center" w:pos="3720"/>
              </w:tabs>
              <w:spacing w:after="313" w:line="259" w:lineRule="auto"/>
              <w:ind w:left="0" w:firstLine="0"/>
              <w:rPr>
                <w:color w:val="auto"/>
                <w:sz w:val="28"/>
              </w:rPr>
            </w:pPr>
            <w:r>
              <w:rPr>
                <w:color w:val="auto"/>
                <w:sz w:val="28"/>
              </w:rPr>
              <w:t>Entry criteria</w:t>
            </w:r>
          </w:p>
        </w:tc>
      </w:tr>
      <w:tr w:rsidR="00124E99" w14:paraId="20CC24A6" w14:textId="77777777" w:rsidTr="0046717D">
        <w:tc>
          <w:tcPr>
            <w:tcW w:w="1853" w:type="dxa"/>
          </w:tcPr>
          <w:p w14:paraId="6B002CD6" w14:textId="5F713367" w:rsidR="00124E99" w:rsidRDefault="00124E99" w:rsidP="00124E99">
            <w:pPr>
              <w:tabs>
                <w:tab w:val="center" w:pos="912"/>
                <w:tab w:val="center" w:pos="3720"/>
              </w:tabs>
              <w:spacing w:after="313" w:line="259" w:lineRule="auto"/>
              <w:ind w:left="0" w:firstLine="0"/>
              <w:jc w:val="center"/>
              <w:rPr>
                <w:color w:val="auto"/>
                <w:sz w:val="28"/>
              </w:rPr>
            </w:pPr>
            <w:r>
              <w:rPr>
                <w:color w:val="auto"/>
                <w:sz w:val="28"/>
              </w:rPr>
              <w:t>4.6</w:t>
            </w:r>
          </w:p>
        </w:tc>
        <w:tc>
          <w:tcPr>
            <w:tcW w:w="7876" w:type="dxa"/>
            <w:gridSpan w:val="2"/>
          </w:tcPr>
          <w:p w14:paraId="00C50136" w14:textId="5295658B" w:rsidR="00124E99" w:rsidRDefault="00124E99" w:rsidP="00124E99">
            <w:pPr>
              <w:tabs>
                <w:tab w:val="center" w:pos="912"/>
                <w:tab w:val="center" w:pos="3720"/>
              </w:tabs>
              <w:spacing w:after="313" w:line="259" w:lineRule="auto"/>
              <w:ind w:left="0" w:firstLine="0"/>
              <w:rPr>
                <w:color w:val="auto"/>
                <w:sz w:val="28"/>
              </w:rPr>
            </w:pPr>
            <w:r>
              <w:rPr>
                <w:color w:val="auto"/>
                <w:sz w:val="28"/>
              </w:rPr>
              <w:t>Accreditation of prior learning</w:t>
            </w:r>
          </w:p>
        </w:tc>
      </w:tr>
      <w:tr w:rsidR="00124E99" w14:paraId="0F4796EE" w14:textId="77777777" w:rsidTr="0046717D">
        <w:tc>
          <w:tcPr>
            <w:tcW w:w="1853" w:type="dxa"/>
          </w:tcPr>
          <w:p w14:paraId="52A6B857" w14:textId="6E49668C" w:rsidR="00124E99" w:rsidRDefault="00124E99" w:rsidP="00124E99">
            <w:pPr>
              <w:tabs>
                <w:tab w:val="center" w:pos="912"/>
                <w:tab w:val="center" w:pos="3720"/>
              </w:tabs>
              <w:spacing w:after="313" w:line="259" w:lineRule="auto"/>
              <w:ind w:left="0" w:firstLine="0"/>
              <w:jc w:val="center"/>
              <w:rPr>
                <w:color w:val="auto"/>
                <w:sz w:val="28"/>
              </w:rPr>
            </w:pPr>
            <w:r>
              <w:rPr>
                <w:color w:val="auto"/>
                <w:sz w:val="28"/>
              </w:rPr>
              <w:t>4.7</w:t>
            </w:r>
          </w:p>
        </w:tc>
        <w:tc>
          <w:tcPr>
            <w:tcW w:w="7876" w:type="dxa"/>
            <w:gridSpan w:val="2"/>
          </w:tcPr>
          <w:p w14:paraId="60FAC43F" w14:textId="0AB3BE5C" w:rsidR="00124E99" w:rsidRDefault="006B1675" w:rsidP="00124E99">
            <w:pPr>
              <w:tabs>
                <w:tab w:val="center" w:pos="912"/>
                <w:tab w:val="center" w:pos="3720"/>
              </w:tabs>
              <w:spacing w:after="313" w:line="259" w:lineRule="auto"/>
              <w:ind w:left="0" w:firstLine="0"/>
              <w:rPr>
                <w:color w:val="auto"/>
                <w:sz w:val="28"/>
              </w:rPr>
            </w:pPr>
            <w:r>
              <w:rPr>
                <w:color w:val="auto"/>
                <w:sz w:val="28"/>
              </w:rPr>
              <w:t>Relationship with other FE teaching qualifications</w:t>
            </w:r>
          </w:p>
        </w:tc>
      </w:tr>
    </w:tbl>
    <w:p w14:paraId="3C378E7C" w14:textId="6E469BD4" w:rsidR="00A854F9" w:rsidRPr="00056393" w:rsidRDefault="00A854F9">
      <w:pPr>
        <w:spacing w:after="14" w:line="259" w:lineRule="auto"/>
        <w:ind w:left="0" w:firstLine="0"/>
        <w:rPr>
          <w:color w:val="auto"/>
        </w:rPr>
      </w:pPr>
    </w:p>
    <w:p w14:paraId="3A61FC1F" w14:textId="2A478C69" w:rsidR="005E36A1" w:rsidRDefault="006644B5" w:rsidP="005E36A1">
      <w:pPr>
        <w:tabs>
          <w:tab w:val="center" w:pos="1287"/>
          <w:tab w:val="right" w:pos="9802"/>
        </w:tabs>
        <w:spacing w:after="160" w:line="259" w:lineRule="auto"/>
        <w:ind w:left="0" w:firstLine="0"/>
        <w:rPr>
          <w:sz w:val="28"/>
        </w:rPr>
      </w:pPr>
      <w:r w:rsidRPr="00056393">
        <w:rPr>
          <w:color w:val="auto"/>
          <w:sz w:val="28"/>
        </w:rPr>
        <w:t xml:space="preserve"> </w:t>
      </w:r>
      <w:r w:rsidRPr="00056393">
        <w:rPr>
          <w:color w:val="auto"/>
          <w:sz w:val="28"/>
        </w:rPr>
        <w:tab/>
      </w:r>
    </w:p>
    <w:p w14:paraId="7C46C709" w14:textId="481E50E5" w:rsidR="00A854F9" w:rsidRDefault="006644B5">
      <w:pPr>
        <w:tabs>
          <w:tab w:val="center" w:pos="4636"/>
          <w:tab w:val="center" w:pos="9994"/>
        </w:tabs>
        <w:spacing w:after="0" w:line="259" w:lineRule="auto"/>
        <w:ind w:left="0" w:firstLine="0"/>
      </w:pPr>
      <w:r>
        <w:rPr>
          <w:sz w:val="28"/>
        </w:rPr>
        <w:tab/>
        <w:t xml:space="preserve"> </w:t>
      </w:r>
      <w:r>
        <w:br w:type="page"/>
      </w:r>
    </w:p>
    <w:p w14:paraId="424EA299" w14:textId="71F710E9" w:rsidR="00A854F9" w:rsidRPr="002C62E3" w:rsidRDefault="006644B5">
      <w:pPr>
        <w:spacing w:after="361" w:line="259" w:lineRule="auto"/>
        <w:ind w:left="55"/>
        <w:rPr>
          <w:sz w:val="40"/>
          <w:szCs w:val="40"/>
        </w:rPr>
      </w:pPr>
      <w:r w:rsidRPr="002C62E3">
        <w:rPr>
          <w:b/>
          <w:color w:val="7BB8B8"/>
          <w:sz w:val="40"/>
          <w:szCs w:val="40"/>
        </w:rPr>
        <w:lastRenderedPageBreak/>
        <w:t xml:space="preserve">ETF Guidance for </w:t>
      </w:r>
      <w:r w:rsidR="00621B7E" w:rsidRPr="002C62E3">
        <w:rPr>
          <w:b/>
          <w:color w:val="7BB8B8"/>
          <w:sz w:val="40"/>
          <w:szCs w:val="40"/>
        </w:rPr>
        <w:t>Professional Diploma in Teaching (Further Education &amp; Skills)</w:t>
      </w:r>
      <w:r w:rsidRPr="002C62E3">
        <w:rPr>
          <w:b/>
          <w:color w:val="7BB8B8"/>
          <w:sz w:val="40"/>
          <w:szCs w:val="40"/>
        </w:rPr>
        <w:t xml:space="preserve"> </w:t>
      </w:r>
    </w:p>
    <w:p w14:paraId="5DC0AB03" w14:textId="47E2B42B" w:rsidR="00A854F9" w:rsidRDefault="006644B5">
      <w:pPr>
        <w:pStyle w:val="Heading1"/>
        <w:spacing w:after="247"/>
        <w:ind w:left="-5"/>
      </w:pPr>
      <w:r>
        <w:t xml:space="preserve">Section 1: Overview </w:t>
      </w:r>
    </w:p>
    <w:p w14:paraId="436D6D5A" w14:textId="77777777" w:rsidR="00A854F9" w:rsidRDefault="006644B5">
      <w:pPr>
        <w:pStyle w:val="Heading2"/>
        <w:ind w:left="55"/>
      </w:pPr>
      <w:r>
        <w:t xml:space="preserve">1.1 Purpose of document </w:t>
      </w:r>
    </w:p>
    <w:p w14:paraId="5413C911" w14:textId="6C457A6F" w:rsidR="00EA5924" w:rsidRDefault="006644B5">
      <w:pPr>
        <w:spacing w:after="167"/>
        <w:ind w:left="55" w:right="5"/>
      </w:pPr>
      <w:r>
        <w:t xml:space="preserve">This </w:t>
      </w:r>
      <w:r w:rsidR="00891684">
        <w:t>document</w:t>
      </w:r>
      <w:r>
        <w:t xml:space="preserve"> is to provide</w:t>
      </w:r>
      <w:r w:rsidR="007213C1">
        <w:t xml:space="preserve"> guidance on the structure of the Professional Diploma in Teaching </w:t>
      </w:r>
      <w:r w:rsidR="00887078">
        <w:t>(</w:t>
      </w:r>
      <w:r w:rsidR="007213C1">
        <w:t>FE &amp; Skills)</w:t>
      </w:r>
      <w:r w:rsidR="00887078">
        <w:t xml:space="preserve"> primarily for use by Awarding Organisations </w:t>
      </w:r>
      <w:r w:rsidR="001F36F3">
        <w:t xml:space="preserve">(AOs) </w:t>
      </w:r>
      <w:r w:rsidR="00887078">
        <w:t>in their development of</w:t>
      </w:r>
      <w:r>
        <w:t xml:space="preserve"> </w:t>
      </w:r>
      <w:r w:rsidR="003603AD">
        <w:t xml:space="preserve">full </w:t>
      </w:r>
      <w:r w:rsidR="00EA5924">
        <w:t>qualifications</w:t>
      </w:r>
      <w:r w:rsidR="003603AD">
        <w:t xml:space="preserve"> for teachers in the FE and Skills sector.</w:t>
      </w:r>
      <w:r w:rsidR="00912A6E">
        <w:t xml:space="preserve"> This new qualification replaces the Diploma in Education and Training</w:t>
      </w:r>
      <w:r w:rsidR="003E481B">
        <w:t xml:space="preserve"> (DET)</w:t>
      </w:r>
      <w:r w:rsidR="001F36F3">
        <w:t>,</w:t>
      </w:r>
      <w:r w:rsidR="003E481B">
        <w:t xml:space="preserve"> and any differently named HEI qualifications based upon the DET</w:t>
      </w:r>
      <w:r w:rsidR="001F36F3">
        <w:t xml:space="preserve">. AOs are advised to </w:t>
      </w:r>
      <w:r w:rsidR="00D31C2B">
        <w:t>design qualifications in line with the following</w:t>
      </w:r>
      <w:r w:rsidR="0028265C">
        <w:t xml:space="preserve"> framework in order for such qualifications to attract public funding and also for the ho0lder to be eligible for </w:t>
      </w:r>
      <w:r w:rsidR="00B35B2D">
        <w:t xml:space="preserve">progression to </w:t>
      </w:r>
      <w:r w:rsidR="0028265C">
        <w:t>QTLS</w:t>
      </w:r>
      <w:r w:rsidR="00B35B2D">
        <w:t>.</w:t>
      </w:r>
    </w:p>
    <w:p w14:paraId="75C62A16" w14:textId="321A31CB" w:rsidR="00A854F9" w:rsidRDefault="003F1477" w:rsidP="003F1477">
      <w:pPr>
        <w:spacing w:after="285" w:line="259" w:lineRule="auto"/>
        <w:ind w:left="0" w:right="5" w:firstLine="45"/>
      </w:pPr>
      <w:r>
        <w:t>T</w:t>
      </w:r>
      <w:r w:rsidR="006644B5">
        <w:t xml:space="preserve">he </w:t>
      </w:r>
      <w:r>
        <w:t>guidance may also be useful to</w:t>
      </w:r>
      <w:r w:rsidR="006644B5">
        <w:t xml:space="preserve">: </w:t>
      </w:r>
    </w:p>
    <w:p w14:paraId="4E497F82" w14:textId="77777777" w:rsidR="00A854F9" w:rsidRDefault="006644B5">
      <w:pPr>
        <w:numPr>
          <w:ilvl w:val="0"/>
          <w:numId w:val="1"/>
        </w:numPr>
        <w:spacing w:after="57"/>
        <w:ind w:right="5" w:hanging="360"/>
      </w:pPr>
      <w:r>
        <w:t xml:space="preserve">Employers of teachers and trainers (including colleges of further education, independent training providers, local authorities, the third sector, the military, uniformed services, young offender institutions, prison education and the probation service) </w:t>
      </w:r>
    </w:p>
    <w:p w14:paraId="74AD7F41" w14:textId="77777777" w:rsidR="00A854F9" w:rsidRDefault="006644B5">
      <w:pPr>
        <w:numPr>
          <w:ilvl w:val="0"/>
          <w:numId w:val="1"/>
        </w:numPr>
        <w:spacing w:after="114" w:line="259" w:lineRule="auto"/>
        <w:ind w:right="5" w:hanging="360"/>
      </w:pPr>
      <w:r>
        <w:t xml:space="preserve">Human resource (HR) managers and line managers </w:t>
      </w:r>
    </w:p>
    <w:p w14:paraId="3EF7E96F" w14:textId="77777777" w:rsidR="00A854F9" w:rsidRDefault="006644B5">
      <w:pPr>
        <w:numPr>
          <w:ilvl w:val="0"/>
          <w:numId w:val="1"/>
        </w:numPr>
        <w:spacing w:after="114" w:line="259" w:lineRule="auto"/>
        <w:ind w:right="5" w:hanging="360"/>
      </w:pPr>
      <w:r>
        <w:t xml:space="preserve">Staff development managers </w:t>
      </w:r>
    </w:p>
    <w:p w14:paraId="47C314E0" w14:textId="77777777" w:rsidR="00A854F9" w:rsidRDefault="006644B5">
      <w:pPr>
        <w:numPr>
          <w:ilvl w:val="0"/>
          <w:numId w:val="1"/>
        </w:numPr>
        <w:spacing w:after="117" w:line="259" w:lineRule="auto"/>
        <w:ind w:right="5" w:hanging="360"/>
      </w:pPr>
      <w:r>
        <w:t xml:space="preserve">Newly employed teachers and trainers and existing staff </w:t>
      </w:r>
    </w:p>
    <w:p w14:paraId="2204AF24" w14:textId="77777777" w:rsidR="00A854F9" w:rsidRDefault="006644B5">
      <w:pPr>
        <w:numPr>
          <w:ilvl w:val="0"/>
          <w:numId w:val="1"/>
        </w:numPr>
        <w:spacing w:after="114" w:line="259" w:lineRule="auto"/>
        <w:ind w:right="5" w:hanging="360"/>
      </w:pPr>
      <w:r>
        <w:t xml:space="preserve">Course providers and teacher educators </w:t>
      </w:r>
    </w:p>
    <w:p w14:paraId="5FA0502A" w14:textId="77777777" w:rsidR="00A854F9" w:rsidRDefault="006644B5">
      <w:pPr>
        <w:numPr>
          <w:ilvl w:val="0"/>
          <w:numId w:val="1"/>
        </w:numPr>
        <w:spacing w:after="117" w:line="259" w:lineRule="auto"/>
        <w:ind w:right="5" w:hanging="360"/>
      </w:pPr>
      <w:r>
        <w:t xml:space="preserve">Union branches and their branch learning representatives. </w:t>
      </w:r>
    </w:p>
    <w:p w14:paraId="24304F79" w14:textId="77777777" w:rsidR="00A854F9" w:rsidRDefault="006644B5">
      <w:pPr>
        <w:numPr>
          <w:ilvl w:val="0"/>
          <w:numId w:val="1"/>
        </w:numPr>
        <w:spacing w:after="192" w:line="259" w:lineRule="auto"/>
        <w:ind w:right="5" w:hanging="360"/>
      </w:pPr>
      <w:r>
        <w:t xml:space="preserve">Those considering teaching as a career. </w:t>
      </w:r>
    </w:p>
    <w:p w14:paraId="6C65A43B" w14:textId="77777777" w:rsidR="00A854F9" w:rsidRDefault="006644B5">
      <w:pPr>
        <w:spacing w:after="252" w:line="259" w:lineRule="auto"/>
        <w:ind w:left="55" w:right="5"/>
      </w:pPr>
      <w:r>
        <w:t xml:space="preserve">How to use this document: </w:t>
      </w:r>
    </w:p>
    <w:p w14:paraId="125A4C05" w14:textId="77777777" w:rsidR="00A854F9" w:rsidRPr="00D74B18" w:rsidRDefault="006644B5">
      <w:pPr>
        <w:spacing w:after="270" w:line="265" w:lineRule="auto"/>
        <w:ind w:left="55"/>
        <w:rPr>
          <w:b/>
          <w:color w:val="7BB8B8"/>
          <w:sz w:val="28"/>
        </w:rPr>
      </w:pPr>
      <w:r w:rsidRPr="00D74B18">
        <w:rPr>
          <w:b/>
          <w:color w:val="7BB8B8"/>
          <w:sz w:val="28"/>
        </w:rPr>
        <w:t xml:space="preserve">1.2 The document is arranged as follows. </w:t>
      </w:r>
    </w:p>
    <w:p w14:paraId="2D23148A" w14:textId="77777777" w:rsidR="00A854F9" w:rsidRDefault="006644B5">
      <w:pPr>
        <w:numPr>
          <w:ilvl w:val="0"/>
          <w:numId w:val="1"/>
        </w:numPr>
        <w:spacing w:after="117" w:line="259" w:lineRule="auto"/>
        <w:ind w:right="5" w:hanging="360"/>
      </w:pPr>
      <w:r>
        <w:rPr>
          <w:b/>
          <w:color w:val="5C6F7C"/>
        </w:rPr>
        <w:t>Section 1</w:t>
      </w:r>
      <w:r>
        <w:t xml:space="preserve"> provides an overview of what the document covers </w:t>
      </w:r>
    </w:p>
    <w:p w14:paraId="35D7B8DE" w14:textId="77777777" w:rsidR="00A854F9" w:rsidRDefault="006644B5">
      <w:pPr>
        <w:numPr>
          <w:ilvl w:val="0"/>
          <w:numId w:val="1"/>
        </w:numPr>
        <w:spacing w:after="54"/>
        <w:ind w:right="5" w:hanging="360"/>
      </w:pPr>
      <w:r>
        <w:rPr>
          <w:b/>
          <w:color w:val="5C6F7C"/>
        </w:rPr>
        <w:t>Section 2</w:t>
      </w:r>
      <w:r>
        <w:rPr>
          <w:b/>
        </w:rPr>
        <w:t xml:space="preserve"> </w:t>
      </w:r>
      <w:r>
        <w:t xml:space="preserve">looks at recent changes within the sector and indicates the general direction of travel as suggested by government policies </w:t>
      </w:r>
    </w:p>
    <w:p w14:paraId="2FDBE21C" w14:textId="2F590E38" w:rsidR="00A854F9" w:rsidRDefault="006644B5">
      <w:pPr>
        <w:numPr>
          <w:ilvl w:val="0"/>
          <w:numId w:val="1"/>
        </w:numPr>
        <w:spacing w:after="117" w:line="259" w:lineRule="auto"/>
        <w:ind w:right="5" w:hanging="360"/>
      </w:pPr>
      <w:r>
        <w:rPr>
          <w:b/>
          <w:color w:val="5C6F7C"/>
        </w:rPr>
        <w:t>Section 3</w:t>
      </w:r>
      <w:r>
        <w:t xml:space="preserve"> provides guidance for </w:t>
      </w:r>
      <w:r w:rsidR="00803744">
        <w:t>Awarding Organisations on developing the qualification</w:t>
      </w:r>
      <w:r>
        <w:t xml:space="preserve">  </w:t>
      </w:r>
    </w:p>
    <w:p w14:paraId="7BF5DBC1" w14:textId="7FF9C184" w:rsidR="00A854F9" w:rsidRDefault="006644B5">
      <w:pPr>
        <w:numPr>
          <w:ilvl w:val="0"/>
          <w:numId w:val="1"/>
        </w:numPr>
        <w:ind w:right="5" w:hanging="360"/>
      </w:pPr>
      <w:r>
        <w:rPr>
          <w:b/>
          <w:color w:val="5C6F7C"/>
        </w:rPr>
        <w:t xml:space="preserve">Section </w:t>
      </w:r>
      <w:r w:rsidR="00AD49C4">
        <w:rPr>
          <w:b/>
          <w:color w:val="5C6F7C"/>
        </w:rPr>
        <w:t>4</w:t>
      </w:r>
      <w:r>
        <w:rPr>
          <w:b/>
        </w:rPr>
        <w:t xml:space="preserve"> </w:t>
      </w:r>
      <w:r>
        <w:t xml:space="preserve">provides the structure of </w:t>
      </w:r>
      <w:r w:rsidR="003F1477">
        <w:t>the</w:t>
      </w:r>
      <w:r>
        <w:t xml:space="preserve"> qualification, including the recommended guided learning hours, teaching practice and assessed observation requirements </w:t>
      </w:r>
    </w:p>
    <w:p w14:paraId="0A508E02" w14:textId="2364995A" w:rsidR="00A854F9" w:rsidRDefault="00A854F9" w:rsidP="00CC337D">
      <w:pPr>
        <w:spacing w:after="155" w:line="259" w:lineRule="auto"/>
        <w:ind w:left="720" w:firstLine="0"/>
      </w:pPr>
    </w:p>
    <w:p w14:paraId="655BC817" w14:textId="4F9CDFF6" w:rsidR="00EF23FB" w:rsidRDefault="00EF23FB" w:rsidP="00EF23FB">
      <w:pPr>
        <w:pStyle w:val="Heading2"/>
        <w:spacing w:after="197"/>
        <w:ind w:left="0" w:firstLine="0"/>
      </w:pPr>
      <w:r>
        <w:t>1.3 Enquiries about this document</w:t>
      </w:r>
    </w:p>
    <w:p w14:paraId="0D18159E" w14:textId="77777777" w:rsidR="00EF23FB" w:rsidRDefault="00EF23FB" w:rsidP="00EF23FB">
      <w:pPr>
        <w:spacing w:after="0" w:line="360" w:lineRule="auto"/>
        <w:ind w:left="60" w:firstLine="0"/>
      </w:pPr>
      <w:r>
        <w:t xml:space="preserve">All enquiries about this document should in the first instance be directed to the National Head of ITE Development &amp; Advice at ETF, Howard Pilott at </w:t>
      </w:r>
      <w:hyperlink r:id="rId9" w:history="1">
        <w:r w:rsidRPr="00776099">
          <w:rPr>
            <w:rStyle w:val="Hyperlink"/>
          </w:rPr>
          <w:t>howard.pilott@etfoundation.co.uk</w:t>
        </w:r>
      </w:hyperlink>
      <w:r>
        <w:t xml:space="preserve"> </w:t>
      </w:r>
    </w:p>
    <w:p w14:paraId="07CECB94" w14:textId="77777777" w:rsidR="00EF23FB" w:rsidRDefault="00EF23FB" w:rsidP="00CC337D">
      <w:pPr>
        <w:spacing w:after="155" w:line="259" w:lineRule="auto"/>
        <w:ind w:left="720" w:firstLine="0"/>
      </w:pPr>
    </w:p>
    <w:p w14:paraId="10FF9639" w14:textId="77777777" w:rsidR="00EF23FB" w:rsidRDefault="00EF23FB">
      <w:pPr>
        <w:pStyle w:val="Heading1"/>
        <w:spacing w:after="245"/>
        <w:ind w:left="-5"/>
      </w:pPr>
    </w:p>
    <w:p w14:paraId="4F649BBF" w14:textId="5048B975" w:rsidR="00A854F9" w:rsidRDefault="006644B5">
      <w:pPr>
        <w:pStyle w:val="Heading1"/>
        <w:spacing w:after="245"/>
        <w:ind w:left="-5"/>
      </w:pPr>
      <w:r>
        <w:t xml:space="preserve">Section 2: Background and context for the guidance </w:t>
      </w:r>
    </w:p>
    <w:p w14:paraId="61B7D0FE" w14:textId="5E57F4D7" w:rsidR="00A854F9" w:rsidRDefault="006644B5">
      <w:pPr>
        <w:pStyle w:val="Heading2"/>
        <w:ind w:left="55"/>
      </w:pPr>
      <w:r>
        <w:t xml:space="preserve">2.1 </w:t>
      </w:r>
      <w:r w:rsidR="004F239F">
        <w:t>Updating and Higher Technical Qualification status</w:t>
      </w:r>
      <w:r>
        <w:t xml:space="preserve"> </w:t>
      </w:r>
    </w:p>
    <w:p w14:paraId="1B822EC3" w14:textId="279AE532" w:rsidR="00F00F40" w:rsidRDefault="00FE27E6">
      <w:pPr>
        <w:spacing w:after="164"/>
        <w:ind w:left="55" w:right="5"/>
      </w:pPr>
      <w:r>
        <w:t>The Diploma in Educa</w:t>
      </w:r>
      <w:r w:rsidR="0074558D">
        <w:t>t</w:t>
      </w:r>
      <w:r>
        <w:t>ion and Training was released in 2013 since when there have been many changes in the</w:t>
      </w:r>
      <w:r w:rsidR="0074558D">
        <w:t xml:space="preserve"> FE &amp; Skills sector as well as in the wider context.</w:t>
      </w:r>
      <w:r w:rsidR="00DE1BC1">
        <w:t xml:space="preserve"> Additionally </w:t>
      </w:r>
      <w:r w:rsidR="00502952">
        <w:t>teaching as a discipline has moved, and so, as a consequence, a review of the full teaching qualifica</w:t>
      </w:r>
      <w:r w:rsidR="009811F4">
        <w:t>t</w:t>
      </w:r>
      <w:r w:rsidR="00502952">
        <w:t>ion is due.</w:t>
      </w:r>
      <w:r w:rsidR="009811F4">
        <w:t xml:space="preserve"> Alongside this, the Government has </w:t>
      </w:r>
      <w:r w:rsidR="00E12A1F">
        <w:t>implemented a Higher Technical Qualification review process</w:t>
      </w:r>
      <w:r w:rsidR="000F1538">
        <w:rPr>
          <w:rStyle w:val="FootnoteReference"/>
        </w:rPr>
        <w:footnoteReference w:id="1"/>
      </w:r>
      <w:r w:rsidR="000F1538">
        <w:t xml:space="preserve">, </w:t>
      </w:r>
      <w:r w:rsidR="00A7724E">
        <w:t xml:space="preserve">which requires </w:t>
      </w:r>
      <w:r w:rsidR="005C5DA8">
        <w:t>AOs t</w:t>
      </w:r>
      <w:r w:rsidR="00432E14">
        <w:t>o:</w:t>
      </w:r>
    </w:p>
    <w:p w14:paraId="239D9CD3" w14:textId="7E2F6885" w:rsidR="005C5DA8" w:rsidRDefault="005C5DA8" w:rsidP="00A136E2">
      <w:pPr>
        <w:spacing w:after="164"/>
        <w:ind w:left="730" w:right="5"/>
      </w:pPr>
      <w:r>
        <w:rPr>
          <w:rFonts w:ascii="Open Sans" w:hAnsi="Open Sans" w:cs="Open Sans"/>
          <w:color w:val="334047"/>
          <w:sz w:val="23"/>
          <w:szCs w:val="23"/>
          <w:shd w:val="clear" w:color="auto" w:fill="FFFFFF"/>
        </w:rPr>
        <w:t>align their qualifications to employer designed occupational standards</w:t>
      </w:r>
      <w:r w:rsidR="00741659">
        <w:rPr>
          <w:rStyle w:val="FootnoteReference"/>
          <w:rFonts w:ascii="Open Sans" w:hAnsi="Open Sans" w:cs="Open Sans"/>
          <w:color w:val="334047"/>
          <w:sz w:val="23"/>
          <w:szCs w:val="23"/>
          <w:shd w:val="clear" w:color="auto" w:fill="FFFFFF"/>
        </w:rPr>
        <w:footnoteReference w:id="2"/>
      </w:r>
    </w:p>
    <w:p w14:paraId="41962556" w14:textId="64713D33" w:rsidR="005C5DA8" w:rsidRDefault="00432E14">
      <w:pPr>
        <w:spacing w:after="164"/>
        <w:ind w:left="55" w:right="5"/>
      </w:pPr>
      <w:r>
        <w:t>As new occupations standards</w:t>
      </w:r>
      <w:r w:rsidR="00741659">
        <w:t xml:space="preserve"> have been developed and approved by </w:t>
      </w:r>
      <w:r w:rsidR="00B45E1B">
        <w:t xml:space="preserve"> the Institute for Apprenticeships and Technical Education</w:t>
      </w:r>
      <w:r w:rsidR="00CD79A1">
        <w:t xml:space="preserve"> [IfATE]</w:t>
      </w:r>
      <w:r w:rsidR="0040071C">
        <w:rPr>
          <w:rStyle w:val="FootnoteReference"/>
        </w:rPr>
        <w:footnoteReference w:id="3"/>
      </w:r>
      <w:r w:rsidR="00CD79A1">
        <w:t>, it is therefore necessary for the qualification to be</w:t>
      </w:r>
      <w:r w:rsidR="00A136E2">
        <w:t xml:space="preserve"> revised. This document provides the basis for AOs to revise their offers.</w:t>
      </w:r>
    </w:p>
    <w:p w14:paraId="63D97B9C" w14:textId="30308B2A" w:rsidR="00A854F9" w:rsidRDefault="006644B5">
      <w:pPr>
        <w:spacing w:after="164"/>
        <w:ind w:left="55" w:right="5"/>
      </w:pPr>
      <w:r>
        <w:t>Th</w:t>
      </w:r>
      <w:r w:rsidR="00AF3B77">
        <w:t>is</w:t>
      </w:r>
      <w:r>
        <w:t xml:space="preserve"> </w:t>
      </w:r>
      <w:r w:rsidR="00B61D90">
        <w:t xml:space="preserve">new </w:t>
      </w:r>
      <w:r>
        <w:t>qualification ha</w:t>
      </w:r>
      <w:r w:rsidR="00AF3B77">
        <w:t>s</w:t>
      </w:r>
      <w:r>
        <w:t xml:space="preserve"> been developed for those</w:t>
      </w:r>
      <w:r w:rsidR="00D94D8F">
        <w:t xml:space="preserve"> working or</w:t>
      </w:r>
      <w:r>
        <w:t xml:space="preserve"> intending to work in the </w:t>
      </w:r>
      <w:r w:rsidR="00D94D8F">
        <w:t>FE &amp; Skills</w:t>
      </w:r>
      <w:r>
        <w:t xml:space="preserve"> sector. The spectrum of providers in the sector is immense including further education colleges, adult and community education providers, offender education, work based learning providers, the third / voluntary sector and a plethora of independent training organisations.  There are over </w:t>
      </w:r>
      <w:r w:rsidR="000756EC">
        <w:t>two</w:t>
      </w:r>
      <w:r>
        <w:t xml:space="preserve"> million students in further education colleges alone. </w:t>
      </w:r>
    </w:p>
    <w:p w14:paraId="2967F99F" w14:textId="77777777" w:rsidR="00A854F9" w:rsidRDefault="006644B5">
      <w:pPr>
        <w:ind w:left="55" w:right="5"/>
      </w:pPr>
      <w:r>
        <w:t xml:space="preserve">These providers cater for a diverse range of learning need and aspiration which include and may combine:  </w:t>
      </w:r>
    </w:p>
    <w:p w14:paraId="14E01C76" w14:textId="77777777" w:rsidR="00A854F9" w:rsidRDefault="006644B5">
      <w:pPr>
        <w:numPr>
          <w:ilvl w:val="0"/>
          <w:numId w:val="2"/>
        </w:numPr>
        <w:spacing w:after="102" w:line="259" w:lineRule="auto"/>
        <w:ind w:right="5" w:hanging="360"/>
      </w:pPr>
      <w:r>
        <w:t xml:space="preserve">Individuals from age 14 – 60+ </w:t>
      </w:r>
    </w:p>
    <w:p w14:paraId="74B08A38" w14:textId="77777777" w:rsidR="00A854F9" w:rsidRDefault="006644B5">
      <w:pPr>
        <w:numPr>
          <w:ilvl w:val="0"/>
          <w:numId w:val="2"/>
        </w:numPr>
        <w:spacing w:after="102" w:line="259" w:lineRule="auto"/>
        <w:ind w:right="5" w:hanging="360"/>
      </w:pPr>
      <w:r>
        <w:t xml:space="preserve">Those seeking academic, vocational or professional qualifications </w:t>
      </w:r>
    </w:p>
    <w:p w14:paraId="33B37EC1" w14:textId="77777777" w:rsidR="00A854F9" w:rsidRDefault="006644B5">
      <w:pPr>
        <w:numPr>
          <w:ilvl w:val="0"/>
          <w:numId w:val="2"/>
        </w:numPr>
        <w:spacing w:after="104" w:line="259" w:lineRule="auto"/>
        <w:ind w:right="5" w:hanging="360"/>
      </w:pPr>
      <w:r>
        <w:t xml:space="preserve">Individuals seeking new qualifications and / or skills for career change or development </w:t>
      </w:r>
    </w:p>
    <w:p w14:paraId="0812880F" w14:textId="77777777" w:rsidR="00A854F9" w:rsidRDefault="006644B5">
      <w:pPr>
        <w:numPr>
          <w:ilvl w:val="0"/>
          <w:numId w:val="2"/>
        </w:numPr>
        <w:spacing w:after="102" w:line="259" w:lineRule="auto"/>
        <w:ind w:right="5" w:hanging="360"/>
      </w:pPr>
      <w:r>
        <w:t xml:space="preserve">People from a diverse range of cultures and ethnicities </w:t>
      </w:r>
    </w:p>
    <w:p w14:paraId="49FA680A" w14:textId="77777777" w:rsidR="00A854F9" w:rsidRDefault="006644B5">
      <w:pPr>
        <w:numPr>
          <w:ilvl w:val="0"/>
          <w:numId w:val="2"/>
        </w:numPr>
        <w:spacing w:after="102" w:line="259" w:lineRule="auto"/>
        <w:ind w:right="5" w:hanging="360"/>
      </w:pPr>
      <w:r>
        <w:t xml:space="preserve">Newly arrived migrants who may have recent traumatic experiences </w:t>
      </w:r>
    </w:p>
    <w:p w14:paraId="6217C91D" w14:textId="77777777" w:rsidR="00747ABF" w:rsidRDefault="006644B5">
      <w:pPr>
        <w:numPr>
          <w:ilvl w:val="0"/>
          <w:numId w:val="2"/>
        </w:numPr>
        <w:ind w:right="5" w:hanging="360"/>
      </w:pPr>
      <w:r>
        <w:t xml:space="preserve">Learners who have previously been failed by the education system </w:t>
      </w:r>
    </w:p>
    <w:p w14:paraId="26761124" w14:textId="458B3F3E" w:rsidR="00A854F9" w:rsidRDefault="006644B5">
      <w:pPr>
        <w:numPr>
          <w:ilvl w:val="0"/>
          <w:numId w:val="2"/>
        </w:numPr>
        <w:ind w:right="5" w:hanging="360"/>
      </w:pPr>
      <w:r>
        <w:t xml:space="preserve">Those with learning difficulties and/or disabilities </w:t>
      </w:r>
    </w:p>
    <w:p w14:paraId="1A7C4CD3" w14:textId="77777777" w:rsidR="00A854F9" w:rsidRDefault="006644B5">
      <w:pPr>
        <w:spacing w:after="101" w:line="259" w:lineRule="auto"/>
        <w:ind w:left="360" w:firstLine="0"/>
      </w:pPr>
      <w:r>
        <w:t xml:space="preserve"> </w:t>
      </w:r>
    </w:p>
    <w:p w14:paraId="2D9BFDB7" w14:textId="10D9A48F" w:rsidR="00A854F9" w:rsidRDefault="006644B5">
      <w:pPr>
        <w:ind w:left="55" w:right="5"/>
      </w:pPr>
      <w:r>
        <w:t xml:space="preserve">The </w:t>
      </w:r>
      <w:r w:rsidR="00F50184">
        <w:t xml:space="preserve">structure of the Professional Diploma in Teaching </w:t>
      </w:r>
      <w:r w:rsidR="007C64CA">
        <w:t>allows a flexibility to reflect</w:t>
      </w:r>
      <w:r>
        <w:t xml:space="preserve"> th</w:t>
      </w:r>
      <w:r w:rsidR="007C64CA">
        <w:t>is</w:t>
      </w:r>
      <w:r>
        <w:t xml:space="preserve"> spectrum of provision and the needs and aspirations of</w:t>
      </w:r>
      <w:r w:rsidR="009E5F4F">
        <w:t xml:space="preserve"> wide range</w:t>
      </w:r>
      <w:r>
        <w:t xml:space="preserve"> participating learners. </w:t>
      </w:r>
    </w:p>
    <w:p w14:paraId="54611EC2" w14:textId="77777777" w:rsidR="00A854F9" w:rsidRDefault="006644B5">
      <w:pPr>
        <w:spacing w:after="103" w:line="259" w:lineRule="auto"/>
        <w:ind w:left="0" w:firstLine="0"/>
      </w:pPr>
      <w:r>
        <w:t xml:space="preserve"> </w:t>
      </w:r>
    </w:p>
    <w:p w14:paraId="2CE5EB0B" w14:textId="77777777" w:rsidR="00A854F9" w:rsidRDefault="006644B5">
      <w:pPr>
        <w:spacing w:after="56"/>
        <w:ind w:left="55" w:right="5"/>
      </w:pPr>
      <w:r>
        <w:t xml:space="preserve">Teaching within the education and training sector is a challenging but potentially exciting and rewarding career choice. </w:t>
      </w:r>
    </w:p>
    <w:p w14:paraId="0B76D46C" w14:textId="77777777" w:rsidR="00A854F9" w:rsidRDefault="006644B5">
      <w:pPr>
        <w:spacing w:after="130" w:line="259" w:lineRule="auto"/>
        <w:ind w:left="0" w:firstLine="0"/>
      </w:pPr>
      <w:r>
        <w:rPr>
          <w:color w:val="7BB8B8"/>
          <w:sz w:val="28"/>
        </w:rPr>
        <w:t xml:space="preserve"> </w:t>
      </w:r>
    </w:p>
    <w:p w14:paraId="68BFFB63" w14:textId="0924BE59" w:rsidR="00A854F9" w:rsidRDefault="006644B5">
      <w:pPr>
        <w:pStyle w:val="Heading2"/>
        <w:ind w:left="55"/>
      </w:pPr>
      <w:r>
        <w:t xml:space="preserve">2.2 </w:t>
      </w:r>
      <w:r w:rsidR="009E5F4F">
        <w:t>Role of the E</w:t>
      </w:r>
      <w:r w:rsidR="00670B52">
        <w:t xml:space="preserve">ducation &amp; </w:t>
      </w:r>
      <w:r w:rsidR="009E5F4F">
        <w:t>T</w:t>
      </w:r>
      <w:r w:rsidR="00670B52">
        <w:t xml:space="preserve">raining </w:t>
      </w:r>
      <w:r w:rsidR="009E5F4F">
        <w:t>F</w:t>
      </w:r>
      <w:r w:rsidR="00670B52">
        <w:t>oundation</w:t>
      </w:r>
    </w:p>
    <w:p w14:paraId="281C0219" w14:textId="79848A32" w:rsidR="00A854F9" w:rsidRPr="00D74B18" w:rsidRDefault="00D74B18">
      <w:pPr>
        <w:pStyle w:val="Heading3"/>
        <w:spacing w:after="260" w:line="264" w:lineRule="auto"/>
        <w:ind w:left="55"/>
        <w:rPr>
          <w:color w:val="7BB8B8"/>
          <w:sz w:val="28"/>
        </w:rPr>
      </w:pPr>
      <w:r>
        <w:rPr>
          <w:color w:val="7BB8B8"/>
          <w:sz w:val="28"/>
        </w:rPr>
        <w:t xml:space="preserve">2.2.1  </w:t>
      </w:r>
      <w:r w:rsidR="006644B5" w:rsidRPr="00D74B18">
        <w:rPr>
          <w:color w:val="7BB8B8"/>
          <w:sz w:val="28"/>
        </w:rPr>
        <w:t xml:space="preserve">Qualifications and regulations </w:t>
      </w:r>
    </w:p>
    <w:p w14:paraId="5F449ED2" w14:textId="602F4A86" w:rsidR="00670B52" w:rsidRDefault="006644B5">
      <w:pPr>
        <w:ind w:left="55" w:right="5"/>
      </w:pPr>
      <w:r>
        <w:t xml:space="preserve">The </w:t>
      </w:r>
      <w:r w:rsidR="00670B52">
        <w:t xml:space="preserve">Education and Training Foundation (ETF) is the workforce development </w:t>
      </w:r>
      <w:r w:rsidR="006144AF">
        <w:t>organisation for the FE &amp; Skills sector.</w:t>
      </w:r>
      <w:r w:rsidR="000D0E35">
        <w:t xml:space="preserve"> </w:t>
      </w:r>
      <w:r w:rsidR="004D1EE6">
        <w:t xml:space="preserve">It published updated guidance for the DET in 2016 and took responsibility for Covid mitigations for ITE qualifications during the pandemic. </w:t>
      </w:r>
      <w:r w:rsidR="000D0E35">
        <w:t>It is therefore well placed to oversee the development and roll out of new qualification</w:t>
      </w:r>
      <w:r w:rsidR="00035258">
        <w:t xml:space="preserve">s for FE &amp; Skills teachers. In this light the DfE has authorised the </w:t>
      </w:r>
      <w:r w:rsidR="001A0F98">
        <w:t>ETF convened ITE Forum to take responsibility for proposals in this area</w:t>
      </w:r>
      <w:r w:rsidR="00AB1F93">
        <w:t>. The ITE Forum is a representative stakeholder grouping</w:t>
      </w:r>
      <w:r w:rsidR="006E5F04">
        <w:t xml:space="preserve"> which includes AO, employer, funding and regulatory authority, and other representation.</w:t>
      </w:r>
      <w:r w:rsidR="00A37959">
        <w:t xml:space="preserve"> The ITE Forum constituted a working group to provide proposals for this new qualification and these have now received sector input and general approval.</w:t>
      </w:r>
      <w:r w:rsidR="008B62EE">
        <w:t xml:space="preserve"> ETF will continue to maintain a watchful eye on</w:t>
      </w:r>
      <w:r w:rsidR="00011882">
        <w:t xml:space="preserve"> this area and will from time to time issue updates to this guidance as necessary.</w:t>
      </w:r>
    </w:p>
    <w:p w14:paraId="114AD5C4" w14:textId="7EF786EF" w:rsidR="005244AE" w:rsidRDefault="005244AE">
      <w:pPr>
        <w:ind w:left="55" w:right="5"/>
      </w:pPr>
    </w:p>
    <w:p w14:paraId="79006AA5" w14:textId="736BD20D" w:rsidR="005244AE" w:rsidRDefault="005244AE">
      <w:pPr>
        <w:ind w:left="55" w:right="5"/>
      </w:pPr>
      <w:r>
        <w:t>The Education and Training Foundation recommends TQT for the suite of Education and Training qualifications as follows:</w:t>
      </w:r>
    </w:p>
    <w:p w14:paraId="0A664159" w14:textId="77777777" w:rsidR="005244AE" w:rsidRDefault="005244AE">
      <w:pPr>
        <w:ind w:left="55" w:right="5"/>
      </w:pPr>
    </w:p>
    <w:p w14:paraId="54C3A32E" w14:textId="4173F9EC" w:rsidR="00A854F9" w:rsidRPr="00D74B18" w:rsidRDefault="00D74B18" w:rsidP="00D74B18">
      <w:pPr>
        <w:pStyle w:val="Heading3"/>
        <w:spacing w:after="260" w:line="264" w:lineRule="auto"/>
        <w:ind w:left="55"/>
        <w:rPr>
          <w:color w:val="7BB8B8"/>
          <w:sz w:val="28"/>
        </w:rPr>
      </w:pPr>
      <w:r>
        <w:rPr>
          <w:color w:val="7BB8B8"/>
          <w:sz w:val="28"/>
        </w:rPr>
        <w:t xml:space="preserve">2.2.2  </w:t>
      </w:r>
      <w:r w:rsidR="000574EF" w:rsidRPr="00D74B18">
        <w:rPr>
          <w:color w:val="7BB8B8"/>
          <w:sz w:val="28"/>
        </w:rPr>
        <w:t>P</w:t>
      </w:r>
      <w:r w:rsidR="006644B5" w:rsidRPr="00D74B18">
        <w:rPr>
          <w:color w:val="7BB8B8"/>
          <w:sz w:val="28"/>
        </w:rPr>
        <w:t xml:space="preserve">rofessional standards </w:t>
      </w:r>
    </w:p>
    <w:p w14:paraId="7057F938" w14:textId="77777777" w:rsidR="00A854F9" w:rsidRDefault="006644B5">
      <w:pPr>
        <w:spacing w:after="101" w:line="259" w:lineRule="auto"/>
        <w:ind w:left="0" w:firstLine="0"/>
      </w:pPr>
      <w:r>
        <w:t xml:space="preserve"> </w:t>
      </w:r>
    </w:p>
    <w:p w14:paraId="7A00CD8E" w14:textId="56CAF01F" w:rsidR="00A854F9" w:rsidRDefault="00435882">
      <w:pPr>
        <w:ind w:left="55" w:right="5"/>
      </w:pPr>
      <w:r>
        <w:t xml:space="preserve">ETF developed the </w:t>
      </w:r>
      <w:r w:rsidR="00124DB4">
        <w:t xml:space="preserve">current set of </w:t>
      </w:r>
      <w:r>
        <w:t>Professional Standards for the FE &amp; Skills sector</w:t>
      </w:r>
      <w:r w:rsidR="006644B5">
        <w:t xml:space="preserve"> The</w:t>
      </w:r>
      <w:r w:rsidR="00124DB4">
        <w:t>se</w:t>
      </w:r>
      <w:r w:rsidR="006644B5">
        <w:t xml:space="preserve"> define the professional requirements of teachers, trainers and tutors of post 16 learners, and underpin effective teaching practice in the sector.  The standards: </w:t>
      </w:r>
    </w:p>
    <w:p w14:paraId="0BDAB64D" w14:textId="77777777" w:rsidR="00A854F9" w:rsidRDefault="006644B5">
      <w:pPr>
        <w:numPr>
          <w:ilvl w:val="0"/>
          <w:numId w:val="3"/>
        </w:numPr>
        <w:spacing w:after="102" w:line="259" w:lineRule="auto"/>
        <w:ind w:right="5" w:hanging="360"/>
      </w:pPr>
      <w:r>
        <w:t xml:space="preserve">set out clear expectations of effective practice in education and training; </w:t>
      </w:r>
    </w:p>
    <w:p w14:paraId="6090693C" w14:textId="77777777" w:rsidR="00A854F9" w:rsidRDefault="006644B5">
      <w:pPr>
        <w:numPr>
          <w:ilvl w:val="0"/>
          <w:numId w:val="3"/>
        </w:numPr>
        <w:spacing w:line="259" w:lineRule="auto"/>
        <w:ind w:right="5" w:hanging="360"/>
      </w:pPr>
      <w:r>
        <w:t xml:space="preserve">enable teachers and trainers to identify areas for their own professional development; </w:t>
      </w:r>
    </w:p>
    <w:p w14:paraId="1F2204A8" w14:textId="77777777" w:rsidR="00A854F9" w:rsidRDefault="006644B5">
      <w:pPr>
        <w:numPr>
          <w:ilvl w:val="0"/>
          <w:numId w:val="3"/>
        </w:numPr>
        <w:spacing w:after="102" w:line="259" w:lineRule="auto"/>
        <w:ind w:right="5" w:hanging="360"/>
      </w:pPr>
      <w:r>
        <w:t xml:space="preserve">support initial teacher education;  </w:t>
      </w:r>
    </w:p>
    <w:p w14:paraId="77195D0C" w14:textId="77777777" w:rsidR="00A854F9" w:rsidRDefault="006644B5">
      <w:pPr>
        <w:numPr>
          <w:ilvl w:val="0"/>
          <w:numId w:val="3"/>
        </w:numPr>
        <w:ind w:right="5" w:hanging="360"/>
      </w:pPr>
      <w:r>
        <w:t xml:space="preserve">provide a national reference point that organisations can use to support the development of their staff </w:t>
      </w:r>
    </w:p>
    <w:p w14:paraId="3E75087B" w14:textId="3555E3EB" w:rsidR="00A854F9" w:rsidRDefault="006644B5" w:rsidP="0057340D">
      <w:pPr>
        <w:spacing w:after="103" w:line="259" w:lineRule="auto"/>
        <w:ind w:left="55" w:right="5"/>
      </w:pPr>
      <w:r>
        <w:t xml:space="preserve">The </w:t>
      </w:r>
      <w:r w:rsidR="009B4F3B">
        <w:t>current</w:t>
      </w:r>
      <w:r>
        <w:t xml:space="preserve"> standards can be accessed at </w:t>
      </w:r>
      <w:hyperlink r:id="rId10">
        <w:r>
          <w:rPr>
            <w:color w:val="605270"/>
            <w:u w:val="single" w:color="605270"/>
          </w:rPr>
          <w:t>professional standards</w:t>
        </w:r>
      </w:hyperlink>
      <w:hyperlink r:id="rId11">
        <w:r>
          <w:rPr>
            <w:color w:val="F49100"/>
          </w:rPr>
          <w:t xml:space="preserve"> </w:t>
        </w:r>
      </w:hyperlink>
      <w:r w:rsidR="0057340D">
        <w:t>.</w:t>
      </w:r>
      <w:r>
        <w:t xml:space="preserve"> </w:t>
      </w:r>
      <w:r w:rsidR="00AB0E8B">
        <w:t xml:space="preserve">It should be noted that the </w:t>
      </w:r>
      <w:r w:rsidR="0057340D">
        <w:t>s</w:t>
      </w:r>
      <w:r w:rsidR="00AB0E8B">
        <w:t>tandards are currently subject to review.</w:t>
      </w:r>
    </w:p>
    <w:p w14:paraId="4BDF6F3C" w14:textId="77777777" w:rsidR="0057340D" w:rsidRDefault="0057340D">
      <w:pPr>
        <w:spacing w:after="101" w:line="259" w:lineRule="auto"/>
        <w:ind w:left="0" w:firstLine="0"/>
      </w:pPr>
    </w:p>
    <w:p w14:paraId="30BD7A8D" w14:textId="425F6194" w:rsidR="00A854F9" w:rsidRDefault="00A854F9">
      <w:pPr>
        <w:ind w:left="55" w:right="5"/>
      </w:pPr>
    </w:p>
    <w:p w14:paraId="3049676F" w14:textId="21830426" w:rsidR="00A854F9" w:rsidRDefault="006644B5" w:rsidP="00954AC6">
      <w:pPr>
        <w:spacing w:after="101" w:line="259" w:lineRule="auto"/>
        <w:ind w:left="0" w:firstLine="0"/>
      </w:pPr>
      <w:r>
        <w:t xml:space="preserve">  </w:t>
      </w:r>
    </w:p>
    <w:p w14:paraId="7F5976D7" w14:textId="77777777" w:rsidR="00A854F9" w:rsidRDefault="006644B5">
      <w:pPr>
        <w:spacing w:after="114" w:line="259" w:lineRule="auto"/>
        <w:ind w:left="0" w:firstLine="0"/>
      </w:pPr>
      <w:r>
        <w:rPr>
          <w:b/>
        </w:rPr>
        <w:t xml:space="preserve"> </w:t>
      </w:r>
    </w:p>
    <w:p w14:paraId="263115DC" w14:textId="77777777" w:rsidR="00A854F9" w:rsidRDefault="006644B5">
      <w:pPr>
        <w:spacing w:after="109" w:line="259" w:lineRule="auto"/>
        <w:ind w:left="0" w:firstLine="0"/>
      </w:pPr>
      <w:r>
        <w:t xml:space="preserve"> </w:t>
      </w:r>
      <w:r>
        <w:tab/>
        <w:t xml:space="preserve"> </w:t>
      </w:r>
    </w:p>
    <w:p w14:paraId="44206739" w14:textId="77777777" w:rsidR="00A854F9" w:rsidRDefault="006644B5">
      <w:pPr>
        <w:spacing w:after="0" w:line="259" w:lineRule="auto"/>
        <w:ind w:left="0" w:firstLine="0"/>
      </w:pPr>
      <w:r>
        <w:t xml:space="preserve"> </w:t>
      </w:r>
    </w:p>
    <w:p w14:paraId="2A24C86E" w14:textId="77777777" w:rsidR="00A854F9" w:rsidRDefault="00A854F9">
      <w:pPr>
        <w:sectPr w:rsidR="00A854F9" w:rsidSect="00A60361">
          <w:footerReference w:type="even" r:id="rId12"/>
          <w:footerReference w:type="default" r:id="rId13"/>
          <w:footerReference w:type="first" r:id="rId14"/>
          <w:type w:val="continuous"/>
          <w:pgSz w:w="11899" w:h="16841" w:code="9"/>
          <w:pgMar w:top="1440" w:right="1080" w:bottom="1440" w:left="1080" w:header="720" w:footer="823" w:gutter="0"/>
          <w:pgNumType w:start="1"/>
          <w:cols w:space="720"/>
        </w:sectPr>
      </w:pPr>
    </w:p>
    <w:p w14:paraId="6029EBD1" w14:textId="77777777" w:rsidR="00A854F9" w:rsidRDefault="006644B5">
      <w:pPr>
        <w:pStyle w:val="Heading2"/>
        <w:ind w:left="55"/>
      </w:pPr>
      <w:r>
        <w:t xml:space="preserve">2.3 Policy context </w:t>
      </w:r>
    </w:p>
    <w:p w14:paraId="4348922F" w14:textId="77777777" w:rsidR="00A854F9" w:rsidRPr="00DE634B" w:rsidRDefault="006644B5">
      <w:pPr>
        <w:pStyle w:val="Heading3"/>
        <w:ind w:left="55"/>
        <w:rPr>
          <w:color w:val="7BB8B8"/>
          <w:sz w:val="28"/>
        </w:rPr>
      </w:pPr>
      <w:r w:rsidRPr="00DE634B">
        <w:rPr>
          <w:color w:val="7BB8B8"/>
          <w:sz w:val="28"/>
        </w:rPr>
        <w:t xml:space="preserve">Government priorities </w:t>
      </w:r>
    </w:p>
    <w:p w14:paraId="521CE612" w14:textId="25183FFC" w:rsidR="00A854F9" w:rsidRDefault="006644B5">
      <w:pPr>
        <w:spacing w:after="101" w:line="259" w:lineRule="auto"/>
        <w:ind w:left="60" w:firstLine="0"/>
        <w:rPr>
          <w:b/>
        </w:rPr>
      </w:pPr>
      <w:r>
        <w:rPr>
          <w:b/>
        </w:rPr>
        <w:t xml:space="preserve"> </w:t>
      </w:r>
    </w:p>
    <w:p w14:paraId="220F4EBE" w14:textId="546A688B" w:rsidR="000F43C2" w:rsidRDefault="00B61D90" w:rsidP="002B3DA9">
      <w:pPr>
        <w:spacing w:after="101" w:line="259" w:lineRule="auto"/>
        <w:ind w:left="60" w:firstLine="0"/>
      </w:pPr>
      <w:r w:rsidRPr="008B39EB">
        <w:rPr>
          <w:bCs/>
        </w:rPr>
        <w:t xml:space="preserve">The Government has made clear its commitment to </w:t>
      </w:r>
      <w:r w:rsidR="002B3DA9" w:rsidRPr="008B39EB">
        <w:rPr>
          <w:bCs/>
        </w:rPr>
        <w:t>t</w:t>
      </w:r>
      <w:r w:rsidRPr="008B39EB">
        <w:rPr>
          <w:bCs/>
        </w:rPr>
        <w:t>he FE &amp; Skills sector in the White Paper</w:t>
      </w:r>
      <w:r w:rsidR="00251403">
        <w:rPr>
          <w:b/>
        </w:rPr>
        <w:t xml:space="preserve"> </w:t>
      </w:r>
      <w:r w:rsidR="002B3DA9" w:rsidRPr="008B39EB">
        <w:rPr>
          <w:i/>
          <w:iCs/>
        </w:rPr>
        <w:t>Skills for Jobs: Lifelong Learning for Opportunity and Growth January 2021</w:t>
      </w:r>
      <w:r w:rsidR="00295373">
        <w:rPr>
          <w:rStyle w:val="FootnoteReference"/>
        </w:rPr>
        <w:footnoteReference w:id="4"/>
      </w:r>
      <w:r w:rsidR="004E4DCF">
        <w:t xml:space="preserve">. </w:t>
      </w:r>
      <w:r w:rsidR="00D3699B">
        <w:t xml:space="preserve"> It </w:t>
      </w:r>
      <w:r w:rsidR="00361050">
        <w:t>present</w:t>
      </w:r>
      <w:r w:rsidR="00D3699B">
        <w:t>s a number of ambitious</w:t>
      </w:r>
      <w:r w:rsidR="00502B7B">
        <w:t xml:space="preserve"> goals for the advancement of the sector</w:t>
      </w:r>
      <w:r w:rsidR="00361050">
        <w:t xml:space="preserve"> including employer engagement, technical qualifications, </w:t>
      </w:r>
      <w:r w:rsidR="007500AC">
        <w:t>skills guarantees, and improving teaching</w:t>
      </w:r>
      <w:r w:rsidR="00A720C5">
        <w:t xml:space="preserve">. </w:t>
      </w:r>
      <w:r w:rsidR="00976580">
        <w:t>Chapter 5 has a section</w:t>
      </w:r>
      <w:r w:rsidR="006162D5">
        <w:t xml:space="preserve"> entitled </w:t>
      </w:r>
      <w:r w:rsidR="006162D5" w:rsidRPr="00A720C5">
        <w:rPr>
          <w:i/>
          <w:iCs/>
        </w:rPr>
        <w:t>Effective initial teacher education</w:t>
      </w:r>
      <w:r w:rsidR="006162D5">
        <w:t>, within which it states:</w:t>
      </w:r>
    </w:p>
    <w:p w14:paraId="11399030" w14:textId="77777777" w:rsidR="00193436" w:rsidRDefault="00193436" w:rsidP="002B3DA9">
      <w:pPr>
        <w:spacing w:after="101" w:line="259" w:lineRule="auto"/>
        <w:ind w:left="60" w:firstLine="0"/>
      </w:pPr>
    </w:p>
    <w:p w14:paraId="5E044951" w14:textId="3DFCB964" w:rsidR="006162D5" w:rsidRDefault="00EA7B50" w:rsidP="00534EF1">
      <w:pPr>
        <w:spacing w:after="101" w:line="259" w:lineRule="auto"/>
        <w:ind w:left="720" w:firstLine="0"/>
      </w:pPr>
      <w:r>
        <w:t>145. We are improving initial teacher education so that all publicly funded training will be rooted in employer-led standards... Based on this new standard, we will support the redevelopment of further education initial teacher education qualifications, so that they too are based on the same clear set of outcomes.</w:t>
      </w:r>
      <w:r w:rsidR="00745778">
        <w:rPr>
          <w:rStyle w:val="FootnoteReference"/>
        </w:rPr>
        <w:footnoteReference w:id="5"/>
      </w:r>
    </w:p>
    <w:p w14:paraId="2360F85D" w14:textId="77777777" w:rsidR="00193436" w:rsidRDefault="00193436" w:rsidP="00534EF1">
      <w:pPr>
        <w:spacing w:after="101" w:line="259" w:lineRule="auto"/>
        <w:ind w:left="720" w:firstLine="0"/>
      </w:pPr>
    </w:p>
    <w:p w14:paraId="557E9468" w14:textId="5A24C2C1" w:rsidR="000F43C2" w:rsidRDefault="00534EF1">
      <w:pPr>
        <w:ind w:left="55" w:right="5"/>
      </w:pPr>
      <w:r>
        <w:t>This new qualification follows on from that intention.</w:t>
      </w:r>
      <w:r w:rsidR="007A4E27">
        <w:t xml:space="preserve"> A level 5 apprenticeship has been approved by IfATE</w:t>
      </w:r>
      <w:r w:rsidR="00710A56">
        <w:t>, the Learning &amp; Skills Teacher, and this new qualification will mirror the standards</w:t>
      </w:r>
      <w:r w:rsidR="004205FE">
        <w:t xml:space="preserve"> achieved via that apprenticeship route.</w:t>
      </w:r>
      <w:r w:rsidR="00DE5832">
        <w:t xml:space="preserve"> </w:t>
      </w:r>
      <w:r w:rsidR="002F17E3">
        <w:t xml:space="preserve">There are currently no plans to regulate this provision but the Government makes plain </w:t>
      </w:r>
      <w:r w:rsidR="001939AA">
        <w:t xml:space="preserve">in the White Paper </w:t>
      </w:r>
      <w:r w:rsidR="002F17E3">
        <w:t xml:space="preserve">that </w:t>
      </w:r>
      <w:r w:rsidR="001939AA">
        <w:t xml:space="preserve">if desired improvements are not evidenced in FE </w:t>
      </w:r>
      <w:r w:rsidR="001B0B23">
        <w:t>teaching, then they reserve the right to take a more interventionist approach:</w:t>
      </w:r>
    </w:p>
    <w:p w14:paraId="4F503E14" w14:textId="77777777" w:rsidR="00193436" w:rsidRDefault="00193436">
      <w:pPr>
        <w:ind w:left="55" w:right="5"/>
      </w:pPr>
    </w:p>
    <w:p w14:paraId="76A99E1C" w14:textId="77777777" w:rsidR="00D33DF4" w:rsidRDefault="00623110" w:rsidP="00D33DF4">
      <w:pPr>
        <w:ind w:left="730" w:right="5"/>
      </w:pPr>
      <w:r>
        <w:t>146. We will work closely with the sector to bring about the improvements to quality that we all agree are so important to improving teaching in further education settings. However, we are clear that substantial change is needed, and we will consider introducing new statutory powers for the Secretary of State to take a more active role in regulating the provision of initial teacher education, if the improvement we need to see is not achieved.</w:t>
      </w:r>
      <w:r w:rsidR="00745778">
        <w:rPr>
          <w:rStyle w:val="FootnoteReference"/>
        </w:rPr>
        <w:footnoteReference w:id="6"/>
      </w:r>
    </w:p>
    <w:p w14:paraId="44C1AAD0" w14:textId="77777777" w:rsidR="00D33DF4" w:rsidRDefault="00D33DF4">
      <w:pPr>
        <w:spacing w:after="160" w:line="259" w:lineRule="auto"/>
        <w:ind w:left="0" w:firstLine="0"/>
      </w:pPr>
      <w:r>
        <w:br w:type="page"/>
      </w:r>
    </w:p>
    <w:p w14:paraId="6C649AEE" w14:textId="6423996C" w:rsidR="00A854F9" w:rsidRDefault="006644B5" w:rsidP="00006875">
      <w:pPr>
        <w:pStyle w:val="Heading1"/>
        <w:spacing w:after="245"/>
        <w:ind w:left="-5"/>
      </w:pPr>
      <w:r>
        <w:t xml:space="preserve">Section 3: Guidance for </w:t>
      </w:r>
      <w:r w:rsidR="007F4D37">
        <w:t>Awarding Organisations</w:t>
      </w:r>
      <w:r w:rsidRPr="00006875">
        <w:t xml:space="preserve"> </w:t>
      </w:r>
    </w:p>
    <w:p w14:paraId="6A9885A8" w14:textId="77777777" w:rsidR="00A854F9" w:rsidRDefault="006644B5">
      <w:pPr>
        <w:pStyle w:val="Heading2"/>
        <w:spacing w:after="197"/>
        <w:ind w:left="55"/>
      </w:pPr>
      <w:r>
        <w:t xml:space="preserve">3.1 General guidance </w:t>
      </w:r>
    </w:p>
    <w:p w14:paraId="2DA8DEF8" w14:textId="48B73177" w:rsidR="00E550A2" w:rsidRDefault="00E550A2">
      <w:pPr>
        <w:ind w:left="55" w:right="5"/>
      </w:pPr>
      <w:r>
        <w:t>This document l</w:t>
      </w:r>
      <w:r w:rsidR="00623F31">
        <w:t>a</w:t>
      </w:r>
      <w:r>
        <w:t xml:space="preserve">ys out the parameters of the Professional Diploma in </w:t>
      </w:r>
      <w:r w:rsidR="00623F31">
        <w:t>T</w:t>
      </w:r>
      <w:r>
        <w:t>eaching (FE &amp; Skills)</w:t>
      </w:r>
      <w:r w:rsidR="00623F31">
        <w:t xml:space="preserve">. </w:t>
      </w:r>
      <w:r w:rsidR="001F15A5">
        <w:t>In order for courses offering this award</w:t>
      </w:r>
      <w:r w:rsidR="00634025">
        <w:t xml:space="preserve"> to be eligible for public funding of any description, they must comply with these guidelines.  </w:t>
      </w:r>
      <w:r w:rsidR="00623F31">
        <w:t>It is for Awarding Organisations to turn these into a qualification.</w:t>
      </w:r>
      <w:r w:rsidR="007D7DD0">
        <w:t xml:space="preserve"> This means the elaboration of the content and any option units to be offered</w:t>
      </w:r>
      <w:r w:rsidR="00957800">
        <w:t>. It should always be borne in mind that this is a minimum level 5 award</w:t>
      </w:r>
      <w:r w:rsidR="00997313">
        <w:t xml:space="preserve"> and any options should be at appropriate level and included to</w:t>
      </w:r>
      <w:r w:rsidR="00876854">
        <w:t xml:space="preserve"> enhance the trainee’s ability to achieve the standards.</w:t>
      </w:r>
    </w:p>
    <w:p w14:paraId="36F17327" w14:textId="67DB7F99" w:rsidR="0062573B" w:rsidRDefault="0062573B">
      <w:pPr>
        <w:ind w:left="55" w:right="5"/>
      </w:pPr>
    </w:p>
    <w:p w14:paraId="6ABB0804" w14:textId="78AE6A1A" w:rsidR="0062573B" w:rsidRDefault="00971B45">
      <w:pPr>
        <w:ind w:left="55" w:right="5"/>
      </w:pPr>
      <w:r>
        <w:t>The title of this qualification is the Professional Diploma in Teaching (Further Educa</w:t>
      </w:r>
      <w:r w:rsidR="00EB313A">
        <w:t>t</w:t>
      </w:r>
      <w:r>
        <w:t>ion &amp; Skills)</w:t>
      </w:r>
      <w:r w:rsidR="00EB313A">
        <w:t xml:space="preserve"> – PDT(FES) – although HEIs may entitle it P</w:t>
      </w:r>
      <w:r w:rsidR="00DD4763">
        <w:t xml:space="preserve">rofessional Graduate Certificate in Education (PGCE), </w:t>
      </w:r>
      <w:r w:rsidR="00B1470B">
        <w:t>if level 6, Post Graduate Certificate in Education (PGCE) if level 7, and Certificate in Education (Cert Ed), if level 5</w:t>
      </w:r>
      <w:r w:rsidR="00E07707">
        <w:t>. They are all recognised as the full teaching qualification for the sector providing they comply with these guidelines.</w:t>
      </w:r>
    </w:p>
    <w:p w14:paraId="2CEFD6CA" w14:textId="080FE04C" w:rsidR="00D96805" w:rsidRDefault="00D96805">
      <w:pPr>
        <w:ind w:left="55" w:right="5"/>
      </w:pPr>
    </w:p>
    <w:p w14:paraId="261CFCE0" w14:textId="35C55797" w:rsidR="00DC742F" w:rsidRDefault="00DC742F" w:rsidP="00B10C89">
      <w:pPr>
        <w:pStyle w:val="Heading2"/>
        <w:spacing w:after="197"/>
        <w:ind w:left="55"/>
      </w:pPr>
      <w:r>
        <w:t xml:space="preserve">3.2 </w:t>
      </w:r>
      <w:r w:rsidR="008C75D6">
        <w:t>Core knowledge and</w:t>
      </w:r>
      <w:r w:rsidR="00B10C89">
        <w:t xml:space="preserve"> skills</w:t>
      </w:r>
    </w:p>
    <w:p w14:paraId="641C8013" w14:textId="6303A368" w:rsidR="00D96805" w:rsidRDefault="00D96805">
      <w:pPr>
        <w:ind w:left="55" w:right="5"/>
      </w:pPr>
      <w:r>
        <w:t xml:space="preserve">The previous FE teaching qualification, the DET, included a Minimum Core of English, maths, </w:t>
      </w:r>
      <w:r w:rsidR="0040607E">
        <w:t>d</w:t>
      </w:r>
      <w:r>
        <w:t>igital</w:t>
      </w:r>
      <w:r w:rsidR="0040607E">
        <w:t xml:space="preserve"> skills, and sustainable development [the latter included from 2022]</w:t>
      </w:r>
      <w:r w:rsidR="00C06499">
        <w:t>. There is no Minimum Core proposed in this guidance</w:t>
      </w:r>
      <w:r w:rsidR="0056743B">
        <w:t>. There is however a core unit relating to Education Technology. Additionally there is a requirement that</w:t>
      </w:r>
      <w:r w:rsidR="00587EED">
        <w:t xml:space="preserve"> at the end of this programme, completers should have achieved level 2 in maths and English</w:t>
      </w:r>
      <w:r w:rsidR="0014426D">
        <w:t>.</w:t>
      </w:r>
      <w:r w:rsidR="00A62C3C">
        <w:t xml:space="preserve"> AOs should be mindful to make explicit in the</w:t>
      </w:r>
      <w:r w:rsidR="00E0373D">
        <w:t xml:space="preserve"> qualification</w:t>
      </w:r>
      <w:r w:rsidR="00A62C3C">
        <w:t xml:space="preserve"> content the need for teachers to be able to support their learners in all the previous Minimum Core areas</w:t>
      </w:r>
      <w:r w:rsidR="00E0373D">
        <w:t>. This is also reflected in the corresponding occupational standards.</w:t>
      </w:r>
    </w:p>
    <w:p w14:paraId="1DA0AC64" w14:textId="3802497A" w:rsidR="00047BFF" w:rsidRDefault="00047BFF">
      <w:pPr>
        <w:ind w:left="55" w:right="5"/>
      </w:pPr>
    </w:p>
    <w:p w14:paraId="4AC99C4B" w14:textId="314A593D" w:rsidR="00047BFF" w:rsidRDefault="00047BFF">
      <w:pPr>
        <w:ind w:left="55" w:right="5"/>
      </w:pPr>
      <w:r>
        <w:t>It should be noted with respect to the requirement to gain level 2 English/maths by the programme completion, providers must put in place adequate support to ensure all trainees are able to do so.</w:t>
      </w:r>
    </w:p>
    <w:p w14:paraId="0FCB8D31" w14:textId="7143F408" w:rsidR="00E550A2" w:rsidRDefault="00E550A2">
      <w:pPr>
        <w:ind w:left="55" w:right="5"/>
      </w:pPr>
    </w:p>
    <w:p w14:paraId="77336B35" w14:textId="77777777" w:rsidR="00B10C89" w:rsidRDefault="00B10C89" w:rsidP="0050207F">
      <w:pPr>
        <w:ind w:left="55" w:right="5"/>
      </w:pPr>
    </w:p>
    <w:p w14:paraId="6F2E9236" w14:textId="65D1450C" w:rsidR="00B10C89" w:rsidRDefault="00B10C89" w:rsidP="000368C2">
      <w:pPr>
        <w:pStyle w:val="Heading2"/>
        <w:spacing w:after="197"/>
        <w:ind w:left="55"/>
      </w:pPr>
      <w:r>
        <w:t>3.</w:t>
      </w:r>
      <w:r w:rsidR="000368C2">
        <w:t>3</w:t>
      </w:r>
      <w:r>
        <w:t xml:space="preserve"> </w:t>
      </w:r>
      <w:r w:rsidR="00CF090A">
        <w:t>Study and placement</w:t>
      </w:r>
      <w:r>
        <w:t xml:space="preserve"> </w:t>
      </w:r>
      <w:r w:rsidR="008C75D6">
        <w:t>hours</w:t>
      </w:r>
    </w:p>
    <w:p w14:paraId="3081F252" w14:textId="706DC3A3" w:rsidR="0050207F" w:rsidRDefault="0050207F" w:rsidP="0050207F">
      <w:pPr>
        <w:ind w:left="55" w:right="5"/>
      </w:pPr>
      <w:r>
        <w:t xml:space="preserve">The Education and Training Foundation recommends </w:t>
      </w:r>
      <w:r w:rsidR="00873E4E">
        <w:t>Guided |Learning Hours [GLH] for the qualification as minimum 360</w:t>
      </w:r>
      <w:r w:rsidR="004F1E17">
        <w:t xml:space="preserve"> </w:t>
      </w:r>
      <w:r w:rsidR="00CF090A">
        <w:t xml:space="preserve">hours, </w:t>
      </w:r>
      <w:r w:rsidR="004F1E17">
        <w:t>and Total Qualification Time [TQT] as minimum 1200</w:t>
      </w:r>
      <w:r w:rsidR="00CF090A">
        <w:t xml:space="preserve"> hours.</w:t>
      </w:r>
    </w:p>
    <w:p w14:paraId="3DF73954" w14:textId="505F21C2" w:rsidR="00CF090A" w:rsidRDefault="00CF090A" w:rsidP="0050207F">
      <w:pPr>
        <w:ind w:left="55" w:right="5"/>
      </w:pPr>
    </w:p>
    <w:p w14:paraId="4DA1C48E" w14:textId="21D537D8" w:rsidR="00F25859" w:rsidRDefault="00F25859" w:rsidP="0050207F">
      <w:pPr>
        <w:ind w:left="55" w:right="5"/>
      </w:pPr>
      <w:r>
        <w:t>The placement should be of at le</w:t>
      </w:r>
      <w:r w:rsidR="00103E0D">
        <w:t>a</w:t>
      </w:r>
      <w:r>
        <w:t>st 250 hours in duration</w:t>
      </w:r>
      <w:r w:rsidR="00103E0D">
        <w:t>, of which at least 150 hours would be teaching practice. The balance, constituting professional practice includes activities such as</w:t>
      </w:r>
      <w:r w:rsidR="00090F06">
        <w:t xml:space="preserve"> team meetings, planning, interviews, assessment meeting, provider wide sessions [eg CPD]</w:t>
      </w:r>
      <w:r w:rsidR="00DB5CC6">
        <w:t>, etc. The purpose of the professional</w:t>
      </w:r>
      <w:r w:rsidR="0017765C">
        <w:t xml:space="preserve"> </w:t>
      </w:r>
      <w:r w:rsidR="00DB5CC6">
        <w:t>practice hours is to gain a full sense of the wider activities of a teacher on a day to day basis</w:t>
      </w:r>
      <w:r w:rsidR="0017765C">
        <w:t>. Of the 150 teaching hours, at least 100 hours must be in the trainee’s subject area.</w:t>
      </w:r>
      <w:r w:rsidR="00775DB4">
        <w:t xml:space="preserve"> Additionally the trainee must gain experience of remote teaching: the recent pandemic highlighted the need for all staff to have this skills at their disposal.  A </w:t>
      </w:r>
      <w:r w:rsidR="002C5AE8">
        <w:t xml:space="preserve">minimum of </w:t>
      </w:r>
      <w:r w:rsidR="00775DB4">
        <w:t xml:space="preserve">20 hours of remote </w:t>
      </w:r>
      <w:r w:rsidR="000A145E">
        <w:t>synchronous [ie live</w:t>
      </w:r>
      <w:r w:rsidR="00FD7885">
        <w:t>]</w:t>
      </w:r>
      <w:r w:rsidR="000A145E">
        <w:t xml:space="preserve"> </w:t>
      </w:r>
      <w:r w:rsidR="00775DB4">
        <w:t>delivery should be included</w:t>
      </w:r>
      <w:r w:rsidR="00484521">
        <w:t xml:space="preserve">, alongside a minimum of 80 hours face to face </w:t>
      </w:r>
      <w:r w:rsidR="009A139C">
        <w:t>delivery.</w:t>
      </w:r>
    </w:p>
    <w:p w14:paraId="6D72FAC2" w14:textId="77777777" w:rsidR="0017765C" w:rsidRDefault="0017765C" w:rsidP="0050207F">
      <w:pPr>
        <w:ind w:left="55" w:right="5"/>
      </w:pPr>
    </w:p>
    <w:p w14:paraId="6C9EEBF0" w14:textId="3C5D07BE" w:rsidR="00CF090A" w:rsidRDefault="00CF090A" w:rsidP="0050207F">
      <w:pPr>
        <w:ind w:left="55" w:right="5"/>
      </w:pPr>
      <w:r>
        <w:t>The placement requirement</w:t>
      </w:r>
      <w:r w:rsidR="00BB7708">
        <w:t xml:space="preserve"> includes two locations: the teacher trainee should gain experience in more than one</w:t>
      </w:r>
      <w:r w:rsidR="001A4092">
        <w:t xml:space="preserve"> teaching location. This is in order to improve the breadth of experience as practices vary</w:t>
      </w:r>
      <w:r w:rsidR="00C041EB">
        <w:t xml:space="preserve">. The second placement must be for at least </w:t>
      </w:r>
      <w:r w:rsidR="00F25859">
        <w:t>3</w:t>
      </w:r>
      <w:r w:rsidR="00C041EB">
        <w:t xml:space="preserve">0 hours and ideally would be </w:t>
      </w:r>
      <w:r w:rsidR="002954A2">
        <w:t>at</w:t>
      </w:r>
      <w:r w:rsidR="00C041EB">
        <w:t xml:space="preserve"> a different provider</w:t>
      </w:r>
      <w:r w:rsidR="00B415A4">
        <w:t xml:space="preserve"> but </w:t>
      </w:r>
      <w:r w:rsidR="00B1487A">
        <w:t>i</w:t>
      </w:r>
      <w:r w:rsidR="00B415A4">
        <w:t xml:space="preserve">n extremis </w:t>
      </w:r>
      <w:r w:rsidR="00B1487A">
        <w:t xml:space="preserve">at a large provider, </w:t>
      </w:r>
      <w:r w:rsidR="00B415A4">
        <w:t>could include a different level &amp; venue</w:t>
      </w:r>
      <w:r w:rsidR="00B1487A">
        <w:t xml:space="preserve"> in the same provider.</w:t>
      </w:r>
      <w:r w:rsidR="00F25859">
        <w:t xml:space="preserve"> </w:t>
      </w:r>
    </w:p>
    <w:p w14:paraId="03E5F5AE" w14:textId="50B46E74" w:rsidR="00E550A2" w:rsidRDefault="00E550A2">
      <w:pPr>
        <w:ind w:left="55" w:right="5"/>
      </w:pPr>
    </w:p>
    <w:p w14:paraId="34FE34E7" w14:textId="53C4955C" w:rsidR="003E5DE8" w:rsidRDefault="00221060">
      <w:pPr>
        <w:ind w:left="55" w:right="5"/>
      </w:pPr>
      <w:r>
        <w:t>It is essential that fully qualified teachers are able to deal with the demands of teaching groups and therefore</w:t>
      </w:r>
      <w:r w:rsidR="00AB5932">
        <w:t xml:space="preserve"> the majority of the teaching should be with groups of more than 10 learners</w:t>
      </w:r>
      <w:r w:rsidR="00317065">
        <w:t xml:space="preserve">, and any practice reckonable should not be with groups of less than </w:t>
      </w:r>
      <w:r w:rsidR="00ED7182">
        <w:t>5</w:t>
      </w:r>
      <w:r w:rsidR="00317065">
        <w:t>.</w:t>
      </w:r>
      <w:r w:rsidR="00BD3C0E">
        <w:t xml:space="preserve"> Such requireements also apply to any remote delivery.</w:t>
      </w:r>
    </w:p>
    <w:p w14:paraId="3787918D" w14:textId="77777777" w:rsidR="0017765C" w:rsidRDefault="0017765C">
      <w:pPr>
        <w:ind w:left="55" w:right="5"/>
      </w:pPr>
    </w:p>
    <w:p w14:paraId="52BC68B0" w14:textId="0BD388FD" w:rsidR="0017765C" w:rsidRDefault="0017765C" w:rsidP="0017765C">
      <w:pPr>
        <w:pStyle w:val="Heading2"/>
        <w:spacing w:after="197"/>
        <w:ind w:left="55"/>
      </w:pPr>
      <w:r>
        <w:t xml:space="preserve">3.4 Mentoring </w:t>
      </w:r>
    </w:p>
    <w:p w14:paraId="09EA5D99" w14:textId="51F163A7" w:rsidR="0017765C" w:rsidRDefault="0017765C">
      <w:pPr>
        <w:ind w:left="55" w:right="5"/>
      </w:pPr>
      <w:r>
        <w:t xml:space="preserve">The mentoring arrangements must be robust. All trainees must have the support of 2 mentors at their placement in addition to the support of their course tutor. The first mentor is the subject mentor and must be competent and teaching in the trainee’s subject area. This enables the provision of subject specific support. This mentor must have time to support the trainee [recommended 30 minutes per week] and additionally time to engage in </w:t>
      </w:r>
      <w:r w:rsidR="0045505C">
        <w:t>assessment, particularly of the subject specific element.</w:t>
      </w:r>
    </w:p>
    <w:p w14:paraId="3488E8F7" w14:textId="77777777" w:rsidR="0045505C" w:rsidRDefault="0045505C">
      <w:pPr>
        <w:ind w:left="55" w:right="5"/>
      </w:pPr>
    </w:p>
    <w:p w14:paraId="3EDC912F" w14:textId="18A9C233" w:rsidR="0050207F" w:rsidRDefault="0017765C">
      <w:pPr>
        <w:ind w:left="55" w:right="5"/>
      </w:pPr>
      <w:r>
        <w:t>The second mentor is a local pastoral support mentor for more general areas of advice and support.</w:t>
      </w:r>
      <w:r w:rsidR="0045505C">
        <w:t xml:space="preserve"> This mentor may support more than one trainee in the placement, maybe acting for a group of trainees. Again this mentor must have sufficient time to support trainees [recommend 30 minutes per week].  This mentor would be expected to liaise with the provider re ongoing trainee progress reports.</w:t>
      </w:r>
    </w:p>
    <w:p w14:paraId="438BEB8E" w14:textId="69D875EF" w:rsidR="00233475" w:rsidRDefault="00233475">
      <w:pPr>
        <w:ind w:left="55" w:right="5"/>
      </w:pPr>
    </w:p>
    <w:p w14:paraId="30313960" w14:textId="5E285107" w:rsidR="00233475" w:rsidRDefault="00233475">
      <w:pPr>
        <w:ind w:left="55" w:right="5"/>
      </w:pPr>
      <w:r>
        <w:t>All centres providing the qualification are required to provide adequate training to all placement mentors to ensure they are suitably trained to meet the needs of trainees</w:t>
      </w:r>
      <w:r w:rsidR="00775DB4">
        <w:t xml:space="preserve">. Centres may wish to make use of resources that ETF has developed in the area of mentoring, see eg </w:t>
      </w:r>
      <w:r w:rsidR="00775DB4" w:rsidRPr="00775DB4">
        <w:t>https://www.et-foundation.co.uk/supporting/professional-development/mentoring/framework-and-guides/</w:t>
      </w:r>
      <w:r w:rsidR="00775DB4">
        <w:t>.</w:t>
      </w:r>
    </w:p>
    <w:p w14:paraId="592F46B2" w14:textId="77777777" w:rsidR="00E550A2" w:rsidRDefault="00E550A2">
      <w:pPr>
        <w:ind w:left="55" w:right="5"/>
      </w:pPr>
    </w:p>
    <w:p w14:paraId="7F483238" w14:textId="77777777" w:rsidR="00E550A2" w:rsidRDefault="00E550A2">
      <w:pPr>
        <w:ind w:left="55" w:right="5"/>
      </w:pPr>
    </w:p>
    <w:p w14:paraId="6C3471AA" w14:textId="77777777" w:rsidR="008C75D6" w:rsidRDefault="008C75D6" w:rsidP="008C75D6">
      <w:pPr>
        <w:pStyle w:val="Heading1"/>
        <w:spacing w:after="245"/>
        <w:ind w:left="-5"/>
      </w:pPr>
      <w:r>
        <w:t>Section 4: The qualification outlined</w:t>
      </w:r>
    </w:p>
    <w:p w14:paraId="281D6FBD" w14:textId="0CD60276" w:rsidR="008C75D6" w:rsidRDefault="008C75D6" w:rsidP="008C75D6">
      <w:pPr>
        <w:pStyle w:val="Heading2"/>
        <w:spacing w:after="197"/>
        <w:ind w:left="55"/>
      </w:pPr>
      <w:r>
        <w:rPr>
          <w:color w:val="000000"/>
          <w:vertAlign w:val="subscript"/>
        </w:rPr>
        <w:t xml:space="preserve"> </w:t>
      </w:r>
      <w:r>
        <w:t>4.1 Structure</w:t>
      </w:r>
    </w:p>
    <w:p w14:paraId="09292EC7" w14:textId="42B4B755" w:rsidR="008C75D6" w:rsidRDefault="00587F5E" w:rsidP="008C75D6">
      <w:r>
        <w:t xml:space="preserve">The qualification consists of a Core and Options. The total credit value of the qualification is a  minimum of 120 credits. The Core, as outlined below, consists of 6 Core Units [details below] which total 90 credits at level 5. </w:t>
      </w:r>
      <w:r w:rsidR="00523D2E">
        <w:t>It should be noted that HEIs may choose to offer part or all of the qualification at level 6 or level 7</w:t>
      </w:r>
      <w:r w:rsidR="00C764C2">
        <w:t xml:space="preserve">. </w:t>
      </w:r>
      <w:r w:rsidR="00CE56BA">
        <w:t>Awarding Organisations will determine suitable option units at level 4 or above to complement the programme and enhance the trainee’s ability to achieve the occupational standards.</w:t>
      </w:r>
    </w:p>
    <w:p w14:paraId="4733F46A" w14:textId="2F3461D9" w:rsidR="00587F5E" w:rsidRDefault="00587F5E" w:rsidP="008C75D6"/>
    <w:p w14:paraId="079A856C" w14:textId="27768CFA" w:rsidR="00587F5E" w:rsidRDefault="00587F5E" w:rsidP="00587F5E">
      <w:pPr>
        <w:pStyle w:val="Heading2"/>
        <w:spacing w:after="197"/>
        <w:ind w:left="55"/>
      </w:pPr>
      <w:r>
        <w:t>4.2 Core units</w:t>
      </w:r>
    </w:p>
    <w:p w14:paraId="0A0B0FBE" w14:textId="6DD67068" w:rsidR="00587F5E" w:rsidRPr="00587F5E" w:rsidRDefault="00587F5E" w:rsidP="00587F5E">
      <w:r>
        <w:t>The Core units, together with a brief outline of content, are set as follows</w:t>
      </w:r>
    </w:p>
    <w:p w14:paraId="2677F515" w14:textId="77777777" w:rsidR="00157A98" w:rsidRPr="009D296E" w:rsidRDefault="00157A98" w:rsidP="00157A98">
      <w:pPr>
        <w:pStyle w:val="ListParagraph"/>
        <w:numPr>
          <w:ilvl w:val="1"/>
          <w:numId w:val="37"/>
        </w:numPr>
        <w:rPr>
          <w:sz w:val="24"/>
          <w:szCs w:val="24"/>
          <w:lang w:val="en-US"/>
        </w:rPr>
      </w:pPr>
      <w:r w:rsidRPr="009D296E">
        <w:rPr>
          <w:sz w:val="24"/>
          <w:szCs w:val="24"/>
          <w:lang w:val="en-US"/>
        </w:rPr>
        <w:t>Unit 1: Learners &amp; learning</w:t>
      </w:r>
    </w:p>
    <w:p w14:paraId="6301EDCF" w14:textId="77777777" w:rsidR="00157A98" w:rsidRDefault="00157A98" w:rsidP="00157A98">
      <w:pPr>
        <w:pStyle w:val="ListParagraph"/>
        <w:numPr>
          <w:ilvl w:val="1"/>
          <w:numId w:val="37"/>
        </w:numPr>
        <w:rPr>
          <w:sz w:val="24"/>
          <w:szCs w:val="24"/>
          <w:lang w:val="en-US"/>
        </w:rPr>
      </w:pPr>
      <w:r>
        <w:rPr>
          <w:sz w:val="24"/>
          <w:szCs w:val="24"/>
          <w:lang w:val="en-US"/>
        </w:rPr>
        <w:t>Part A: Learners</w:t>
      </w:r>
    </w:p>
    <w:p w14:paraId="5C0D0D77" w14:textId="77777777" w:rsidR="00157A98" w:rsidRDefault="00157A98" w:rsidP="00157A98">
      <w:pPr>
        <w:pStyle w:val="ListParagraph"/>
        <w:numPr>
          <w:ilvl w:val="2"/>
          <w:numId w:val="37"/>
        </w:numPr>
        <w:rPr>
          <w:sz w:val="24"/>
          <w:szCs w:val="24"/>
          <w:lang w:val="en-US"/>
        </w:rPr>
      </w:pPr>
      <w:r>
        <w:rPr>
          <w:sz w:val="24"/>
          <w:szCs w:val="24"/>
          <w:lang w:val="en-US"/>
        </w:rPr>
        <w:t>Getting to know your learners in FE</w:t>
      </w:r>
    </w:p>
    <w:p w14:paraId="7BCA8450" w14:textId="77777777" w:rsidR="00157A98" w:rsidRDefault="00157A98" w:rsidP="00157A98">
      <w:pPr>
        <w:pStyle w:val="ListParagraph"/>
        <w:numPr>
          <w:ilvl w:val="2"/>
          <w:numId w:val="37"/>
        </w:numPr>
        <w:rPr>
          <w:sz w:val="24"/>
          <w:szCs w:val="24"/>
          <w:lang w:val="en-US"/>
        </w:rPr>
      </w:pPr>
      <w:r>
        <w:rPr>
          <w:sz w:val="24"/>
          <w:szCs w:val="24"/>
          <w:lang w:val="en-US"/>
        </w:rPr>
        <w:t>Their journeys to FE</w:t>
      </w:r>
    </w:p>
    <w:p w14:paraId="2342FB75" w14:textId="77777777" w:rsidR="00157A98" w:rsidRDefault="00157A98" w:rsidP="00157A98">
      <w:pPr>
        <w:pStyle w:val="ListParagraph"/>
        <w:numPr>
          <w:ilvl w:val="2"/>
          <w:numId w:val="37"/>
        </w:numPr>
        <w:rPr>
          <w:sz w:val="24"/>
          <w:szCs w:val="24"/>
          <w:lang w:val="en-US"/>
        </w:rPr>
      </w:pPr>
      <w:r>
        <w:rPr>
          <w:sz w:val="24"/>
          <w:szCs w:val="24"/>
          <w:lang w:val="en-US"/>
        </w:rPr>
        <w:t>Range of support needs</w:t>
      </w:r>
    </w:p>
    <w:p w14:paraId="5BB57DDC" w14:textId="77777777" w:rsidR="00157A98" w:rsidRDefault="00157A98" w:rsidP="00157A98">
      <w:pPr>
        <w:pStyle w:val="ListParagraph"/>
        <w:numPr>
          <w:ilvl w:val="2"/>
          <w:numId w:val="37"/>
        </w:numPr>
        <w:rPr>
          <w:sz w:val="24"/>
          <w:szCs w:val="24"/>
          <w:lang w:val="en-US"/>
        </w:rPr>
      </w:pPr>
      <w:r>
        <w:rPr>
          <w:sz w:val="24"/>
          <w:szCs w:val="24"/>
          <w:lang w:val="en-US"/>
        </w:rPr>
        <w:t>Safeguarding/EDI</w:t>
      </w:r>
    </w:p>
    <w:p w14:paraId="5CAA5044" w14:textId="77777777" w:rsidR="00157A98" w:rsidRDefault="00157A98" w:rsidP="00157A98">
      <w:pPr>
        <w:pStyle w:val="ListParagraph"/>
        <w:numPr>
          <w:ilvl w:val="2"/>
          <w:numId w:val="37"/>
        </w:numPr>
        <w:rPr>
          <w:sz w:val="24"/>
          <w:szCs w:val="24"/>
          <w:lang w:val="en-US"/>
        </w:rPr>
      </w:pPr>
      <w:r>
        <w:rPr>
          <w:sz w:val="24"/>
          <w:szCs w:val="24"/>
          <w:lang w:val="en-US"/>
        </w:rPr>
        <w:t>Their wider expectations</w:t>
      </w:r>
    </w:p>
    <w:p w14:paraId="0CD61766" w14:textId="77777777" w:rsidR="00157A98" w:rsidRDefault="00157A98" w:rsidP="00157A98">
      <w:pPr>
        <w:pStyle w:val="ListParagraph"/>
        <w:numPr>
          <w:ilvl w:val="1"/>
          <w:numId w:val="37"/>
        </w:numPr>
        <w:rPr>
          <w:sz w:val="24"/>
          <w:szCs w:val="24"/>
          <w:lang w:val="en-US"/>
        </w:rPr>
      </w:pPr>
      <w:r>
        <w:rPr>
          <w:sz w:val="24"/>
          <w:szCs w:val="24"/>
          <w:lang w:val="en-US"/>
        </w:rPr>
        <w:t>Part B: Learning</w:t>
      </w:r>
    </w:p>
    <w:p w14:paraId="0C4C5D9A" w14:textId="77777777" w:rsidR="00157A98" w:rsidRDefault="00157A98" w:rsidP="00157A98">
      <w:pPr>
        <w:pStyle w:val="ListParagraph"/>
        <w:numPr>
          <w:ilvl w:val="2"/>
          <w:numId w:val="37"/>
        </w:numPr>
        <w:rPr>
          <w:sz w:val="24"/>
          <w:szCs w:val="24"/>
          <w:lang w:val="en-US"/>
        </w:rPr>
      </w:pPr>
      <w:r>
        <w:rPr>
          <w:sz w:val="24"/>
          <w:szCs w:val="24"/>
          <w:lang w:val="en-US"/>
        </w:rPr>
        <w:t>Psychology of learning</w:t>
      </w:r>
    </w:p>
    <w:p w14:paraId="68AFA39A" w14:textId="77777777" w:rsidR="00157A98" w:rsidRDefault="00157A98" w:rsidP="00157A98">
      <w:pPr>
        <w:pStyle w:val="ListParagraph"/>
        <w:numPr>
          <w:ilvl w:val="2"/>
          <w:numId w:val="37"/>
        </w:numPr>
        <w:rPr>
          <w:sz w:val="24"/>
          <w:szCs w:val="24"/>
          <w:lang w:val="en-US"/>
        </w:rPr>
      </w:pPr>
      <w:r>
        <w:rPr>
          <w:sz w:val="24"/>
          <w:szCs w:val="24"/>
          <w:lang w:val="en-US"/>
        </w:rPr>
        <w:t>Role of research and evidence</w:t>
      </w:r>
    </w:p>
    <w:p w14:paraId="35242FCD" w14:textId="77777777" w:rsidR="00157A98" w:rsidRDefault="00157A98" w:rsidP="00157A98">
      <w:pPr>
        <w:pStyle w:val="ListParagraph"/>
        <w:numPr>
          <w:ilvl w:val="1"/>
          <w:numId w:val="37"/>
        </w:numPr>
        <w:rPr>
          <w:sz w:val="24"/>
          <w:szCs w:val="24"/>
          <w:lang w:val="en-US"/>
        </w:rPr>
      </w:pPr>
      <w:r w:rsidRPr="009D296E">
        <w:rPr>
          <w:sz w:val="24"/>
          <w:szCs w:val="24"/>
          <w:lang w:val="en-US"/>
        </w:rPr>
        <w:t>Unit 2: Teachers &amp; teaching</w:t>
      </w:r>
    </w:p>
    <w:p w14:paraId="484A91AE" w14:textId="77777777" w:rsidR="00157A98" w:rsidRDefault="00157A98" w:rsidP="00157A98">
      <w:pPr>
        <w:pStyle w:val="ListParagraph"/>
        <w:numPr>
          <w:ilvl w:val="1"/>
          <w:numId w:val="37"/>
        </w:numPr>
        <w:rPr>
          <w:sz w:val="24"/>
          <w:szCs w:val="24"/>
          <w:lang w:val="en-US"/>
        </w:rPr>
      </w:pPr>
      <w:r>
        <w:rPr>
          <w:sz w:val="24"/>
          <w:szCs w:val="24"/>
          <w:lang w:val="en-US"/>
        </w:rPr>
        <w:t>Part A: Teachers</w:t>
      </w:r>
    </w:p>
    <w:p w14:paraId="6FC3A19D" w14:textId="77777777" w:rsidR="00157A98" w:rsidRDefault="00157A98" w:rsidP="00157A98">
      <w:pPr>
        <w:pStyle w:val="ListParagraph"/>
        <w:numPr>
          <w:ilvl w:val="2"/>
          <w:numId w:val="37"/>
        </w:numPr>
        <w:rPr>
          <w:sz w:val="24"/>
          <w:szCs w:val="24"/>
          <w:lang w:val="en-US"/>
        </w:rPr>
      </w:pPr>
      <w:r>
        <w:rPr>
          <w:sz w:val="24"/>
          <w:szCs w:val="24"/>
          <w:lang w:val="en-US"/>
        </w:rPr>
        <w:t>The role of a teacher</w:t>
      </w:r>
    </w:p>
    <w:p w14:paraId="3F1C0955" w14:textId="77777777" w:rsidR="00157A98" w:rsidRPr="009D296E" w:rsidRDefault="00157A98" w:rsidP="00157A98">
      <w:pPr>
        <w:pStyle w:val="ListParagraph"/>
        <w:numPr>
          <w:ilvl w:val="2"/>
          <w:numId w:val="37"/>
        </w:numPr>
        <w:rPr>
          <w:sz w:val="24"/>
          <w:szCs w:val="24"/>
          <w:lang w:val="en-US"/>
        </w:rPr>
      </w:pPr>
      <w:r>
        <w:rPr>
          <w:sz w:val="24"/>
          <w:szCs w:val="24"/>
          <w:lang w:val="en-US"/>
        </w:rPr>
        <w:t>What makes a good teacher?</w:t>
      </w:r>
      <w:r w:rsidRPr="00FE4CC2">
        <w:rPr>
          <w:sz w:val="24"/>
          <w:szCs w:val="24"/>
          <w:lang w:val="en-US"/>
        </w:rPr>
        <w:t xml:space="preserve"> </w:t>
      </w:r>
    </w:p>
    <w:p w14:paraId="319EE11D" w14:textId="77777777" w:rsidR="00157A98" w:rsidRDefault="00157A98" w:rsidP="00157A98">
      <w:pPr>
        <w:pStyle w:val="ListParagraph"/>
        <w:numPr>
          <w:ilvl w:val="2"/>
          <w:numId w:val="37"/>
        </w:numPr>
        <w:rPr>
          <w:sz w:val="24"/>
          <w:szCs w:val="24"/>
          <w:lang w:val="en-US"/>
        </w:rPr>
      </w:pPr>
      <w:r>
        <w:rPr>
          <w:sz w:val="24"/>
          <w:szCs w:val="24"/>
          <w:lang w:val="en-US"/>
        </w:rPr>
        <w:t>Working with and learning from other teachers</w:t>
      </w:r>
    </w:p>
    <w:p w14:paraId="372EEA34" w14:textId="77777777" w:rsidR="00157A98" w:rsidRPr="009D296E" w:rsidRDefault="00157A98" w:rsidP="00157A98">
      <w:pPr>
        <w:pStyle w:val="ListParagraph"/>
        <w:numPr>
          <w:ilvl w:val="2"/>
          <w:numId w:val="37"/>
        </w:numPr>
        <w:rPr>
          <w:sz w:val="24"/>
          <w:szCs w:val="24"/>
          <w:lang w:val="en-US"/>
        </w:rPr>
      </w:pPr>
      <w:r>
        <w:rPr>
          <w:sz w:val="24"/>
          <w:szCs w:val="24"/>
          <w:lang w:val="en-US"/>
        </w:rPr>
        <w:t>Other sources of support</w:t>
      </w:r>
    </w:p>
    <w:p w14:paraId="03636B28" w14:textId="77777777" w:rsidR="00157A98" w:rsidRDefault="00157A98" w:rsidP="00157A98">
      <w:pPr>
        <w:pStyle w:val="ListParagraph"/>
        <w:numPr>
          <w:ilvl w:val="1"/>
          <w:numId w:val="37"/>
        </w:numPr>
        <w:rPr>
          <w:sz w:val="24"/>
          <w:szCs w:val="24"/>
          <w:lang w:val="en-US"/>
        </w:rPr>
      </w:pPr>
      <w:r>
        <w:rPr>
          <w:sz w:val="24"/>
          <w:szCs w:val="24"/>
          <w:lang w:val="en-US"/>
        </w:rPr>
        <w:t>Part B: Teaching</w:t>
      </w:r>
    </w:p>
    <w:p w14:paraId="18128A6B" w14:textId="77777777" w:rsidR="00157A98" w:rsidRPr="00EF5E85" w:rsidRDefault="00157A98" w:rsidP="00157A98">
      <w:pPr>
        <w:pStyle w:val="ListParagraph"/>
        <w:numPr>
          <w:ilvl w:val="2"/>
          <w:numId w:val="37"/>
        </w:numPr>
        <w:rPr>
          <w:sz w:val="24"/>
          <w:szCs w:val="24"/>
          <w:lang w:val="en-US"/>
        </w:rPr>
      </w:pPr>
      <w:r w:rsidRPr="00EF5E85">
        <w:rPr>
          <w:sz w:val="24"/>
          <w:szCs w:val="24"/>
          <w:lang w:val="en-US"/>
        </w:rPr>
        <w:t>Person centred approach</w:t>
      </w:r>
    </w:p>
    <w:p w14:paraId="1A54D6C8" w14:textId="77777777" w:rsidR="00157A98" w:rsidRDefault="00157A98" w:rsidP="00157A98">
      <w:pPr>
        <w:pStyle w:val="ListParagraph"/>
        <w:numPr>
          <w:ilvl w:val="2"/>
          <w:numId w:val="37"/>
        </w:numPr>
        <w:rPr>
          <w:sz w:val="24"/>
          <w:szCs w:val="24"/>
          <w:lang w:val="en-US"/>
        </w:rPr>
      </w:pPr>
      <w:r>
        <w:rPr>
          <w:sz w:val="24"/>
          <w:szCs w:val="24"/>
          <w:lang w:val="en-US"/>
        </w:rPr>
        <w:t>Planning and delivering sessions</w:t>
      </w:r>
    </w:p>
    <w:p w14:paraId="43C07B11" w14:textId="77777777" w:rsidR="00157A98" w:rsidRDefault="00157A98" w:rsidP="00157A98">
      <w:pPr>
        <w:pStyle w:val="ListParagraph"/>
        <w:numPr>
          <w:ilvl w:val="2"/>
          <w:numId w:val="37"/>
        </w:numPr>
        <w:rPr>
          <w:sz w:val="24"/>
          <w:szCs w:val="24"/>
          <w:lang w:val="en-US"/>
        </w:rPr>
      </w:pPr>
      <w:r>
        <w:rPr>
          <w:sz w:val="24"/>
          <w:szCs w:val="24"/>
          <w:lang w:val="en-US"/>
        </w:rPr>
        <w:t>Individual support [incl SEND, mental health]</w:t>
      </w:r>
    </w:p>
    <w:p w14:paraId="4A3E0ECC" w14:textId="77777777" w:rsidR="00157A98" w:rsidRPr="00A3250C" w:rsidRDefault="00157A98" w:rsidP="00157A98">
      <w:pPr>
        <w:pStyle w:val="ListParagraph"/>
        <w:numPr>
          <w:ilvl w:val="2"/>
          <w:numId w:val="37"/>
        </w:numPr>
        <w:rPr>
          <w:sz w:val="24"/>
          <w:szCs w:val="24"/>
          <w:lang w:val="en-US"/>
        </w:rPr>
      </w:pPr>
      <w:r>
        <w:rPr>
          <w:sz w:val="24"/>
          <w:szCs w:val="24"/>
          <w:lang w:val="en-US"/>
        </w:rPr>
        <w:t>Teacher expectations of learners</w:t>
      </w:r>
    </w:p>
    <w:p w14:paraId="49CA76DC" w14:textId="77777777" w:rsidR="00157A98" w:rsidRDefault="00157A98" w:rsidP="00157A98">
      <w:pPr>
        <w:pStyle w:val="ListParagraph"/>
        <w:numPr>
          <w:ilvl w:val="2"/>
          <w:numId w:val="37"/>
        </w:numPr>
        <w:rPr>
          <w:sz w:val="24"/>
          <w:szCs w:val="24"/>
          <w:lang w:val="en-US"/>
        </w:rPr>
      </w:pPr>
      <w:r>
        <w:rPr>
          <w:sz w:val="24"/>
          <w:szCs w:val="24"/>
          <w:lang w:val="en-US"/>
        </w:rPr>
        <w:t>F2f &amp; remote delivery</w:t>
      </w:r>
    </w:p>
    <w:p w14:paraId="773EAC16" w14:textId="77777777" w:rsidR="00157A98" w:rsidRDefault="00157A98" w:rsidP="00157A98">
      <w:pPr>
        <w:pStyle w:val="ListParagraph"/>
        <w:numPr>
          <w:ilvl w:val="2"/>
          <w:numId w:val="37"/>
        </w:numPr>
        <w:rPr>
          <w:sz w:val="24"/>
          <w:szCs w:val="24"/>
          <w:lang w:val="en-US"/>
        </w:rPr>
      </w:pPr>
      <w:r>
        <w:rPr>
          <w:sz w:val="24"/>
          <w:szCs w:val="24"/>
          <w:lang w:val="en-US"/>
        </w:rPr>
        <w:t>Assessment</w:t>
      </w:r>
    </w:p>
    <w:p w14:paraId="3A5CC3D9" w14:textId="77777777" w:rsidR="00157A98" w:rsidRDefault="00157A98" w:rsidP="00157A98">
      <w:pPr>
        <w:pStyle w:val="ListParagraph"/>
        <w:numPr>
          <w:ilvl w:val="2"/>
          <w:numId w:val="37"/>
        </w:numPr>
        <w:rPr>
          <w:sz w:val="24"/>
          <w:szCs w:val="24"/>
          <w:lang w:val="en-US"/>
        </w:rPr>
      </w:pPr>
      <w:r>
        <w:rPr>
          <w:sz w:val="24"/>
          <w:szCs w:val="24"/>
          <w:lang w:val="en-US"/>
        </w:rPr>
        <w:t>Embedding EMD</w:t>
      </w:r>
    </w:p>
    <w:p w14:paraId="13D23F6A" w14:textId="77777777" w:rsidR="00157A98" w:rsidRDefault="00157A98" w:rsidP="00157A98">
      <w:pPr>
        <w:pStyle w:val="ListParagraph"/>
        <w:numPr>
          <w:ilvl w:val="2"/>
          <w:numId w:val="37"/>
        </w:numPr>
        <w:rPr>
          <w:sz w:val="24"/>
          <w:szCs w:val="24"/>
          <w:lang w:val="en-US"/>
        </w:rPr>
      </w:pPr>
      <w:r>
        <w:rPr>
          <w:sz w:val="24"/>
          <w:szCs w:val="24"/>
          <w:lang w:val="en-US"/>
        </w:rPr>
        <w:t>Courses and specifications</w:t>
      </w:r>
    </w:p>
    <w:p w14:paraId="03D78859" w14:textId="77777777" w:rsidR="00157A98" w:rsidRDefault="00157A98" w:rsidP="00157A98">
      <w:pPr>
        <w:pStyle w:val="ListParagraph"/>
        <w:numPr>
          <w:ilvl w:val="1"/>
          <w:numId w:val="37"/>
        </w:numPr>
        <w:rPr>
          <w:sz w:val="24"/>
          <w:szCs w:val="24"/>
          <w:lang w:val="en-US"/>
        </w:rPr>
      </w:pPr>
      <w:r w:rsidRPr="009D296E">
        <w:rPr>
          <w:sz w:val="24"/>
          <w:szCs w:val="24"/>
          <w:lang w:val="en-US"/>
        </w:rPr>
        <w:t>Unit 3: Professional Practice</w:t>
      </w:r>
    </w:p>
    <w:p w14:paraId="7E9672B4" w14:textId="77777777" w:rsidR="00157A98" w:rsidRDefault="00157A98" w:rsidP="00157A98">
      <w:pPr>
        <w:pStyle w:val="ListParagraph"/>
        <w:numPr>
          <w:ilvl w:val="1"/>
          <w:numId w:val="37"/>
        </w:numPr>
        <w:rPr>
          <w:sz w:val="24"/>
          <w:szCs w:val="24"/>
          <w:lang w:val="en-US"/>
        </w:rPr>
      </w:pPr>
      <w:r>
        <w:rPr>
          <w:sz w:val="24"/>
          <w:szCs w:val="24"/>
          <w:lang w:val="en-US"/>
        </w:rPr>
        <w:t>Part A: Teaching practice</w:t>
      </w:r>
    </w:p>
    <w:p w14:paraId="6CBB6251" w14:textId="77777777" w:rsidR="00157A98" w:rsidRDefault="00157A98" w:rsidP="00157A98">
      <w:pPr>
        <w:pStyle w:val="ListParagraph"/>
        <w:numPr>
          <w:ilvl w:val="2"/>
          <w:numId w:val="37"/>
        </w:numPr>
        <w:rPr>
          <w:sz w:val="24"/>
          <w:szCs w:val="24"/>
          <w:lang w:val="en-US"/>
        </w:rPr>
      </w:pPr>
      <w:r>
        <w:rPr>
          <w:sz w:val="24"/>
          <w:szCs w:val="24"/>
          <w:lang w:val="en-US"/>
        </w:rPr>
        <w:t>Micro teaches</w:t>
      </w:r>
    </w:p>
    <w:p w14:paraId="6BB7B23D" w14:textId="77777777" w:rsidR="00157A98" w:rsidRDefault="00157A98" w:rsidP="00157A98">
      <w:pPr>
        <w:pStyle w:val="ListParagraph"/>
        <w:numPr>
          <w:ilvl w:val="2"/>
          <w:numId w:val="37"/>
        </w:numPr>
        <w:rPr>
          <w:sz w:val="24"/>
          <w:szCs w:val="24"/>
          <w:lang w:val="en-US"/>
        </w:rPr>
      </w:pPr>
      <w:r>
        <w:rPr>
          <w:sz w:val="24"/>
          <w:szCs w:val="24"/>
          <w:lang w:val="en-US"/>
        </w:rPr>
        <w:t>Preparation for placement</w:t>
      </w:r>
    </w:p>
    <w:p w14:paraId="013DAEE6" w14:textId="77777777" w:rsidR="00157A98" w:rsidRDefault="00157A98" w:rsidP="00157A98">
      <w:pPr>
        <w:pStyle w:val="ListParagraph"/>
        <w:numPr>
          <w:ilvl w:val="2"/>
          <w:numId w:val="37"/>
        </w:numPr>
        <w:rPr>
          <w:sz w:val="24"/>
          <w:szCs w:val="24"/>
          <w:lang w:val="en-US"/>
        </w:rPr>
      </w:pPr>
      <w:r>
        <w:rPr>
          <w:sz w:val="24"/>
          <w:szCs w:val="24"/>
          <w:lang w:val="en-US"/>
        </w:rPr>
        <w:t>Observation of other teachers</w:t>
      </w:r>
    </w:p>
    <w:p w14:paraId="366B4DDA" w14:textId="77777777" w:rsidR="00157A98" w:rsidRDefault="00157A98" w:rsidP="00157A98">
      <w:pPr>
        <w:pStyle w:val="ListParagraph"/>
        <w:numPr>
          <w:ilvl w:val="2"/>
          <w:numId w:val="37"/>
        </w:numPr>
        <w:rPr>
          <w:sz w:val="24"/>
          <w:szCs w:val="24"/>
          <w:lang w:val="en-US"/>
        </w:rPr>
      </w:pPr>
      <w:r>
        <w:rPr>
          <w:sz w:val="24"/>
          <w:szCs w:val="24"/>
          <w:lang w:val="en-US"/>
        </w:rPr>
        <w:t>Team teaching</w:t>
      </w:r>
    </w:p>
    <w:p w14:paraId="4D9662B0" w14:textId="77777777" w:rsidR="00157A98" w:rsidRDefault="00157A98" w:rsidP="00157A98">
      <w:pPr>
        <w:pStyle w:val="ListParagraph"/>
        <w:numPr>
          <w:ilvl w:val="2"/>
          <w:numId w:val="37"/>
        </w:numPr>
        <w:rPr>
          <w:sz w:val="24"/>
          <w:szCs w:val="24"/>
          <w:lang w:val="en-US"/>
        </w:rPr>
      </w:pPr>
      <w:r>
        <w:rPr>
          <w:sz w:val="24"/>
          <w:szCs w:val="24"/>
          <w:lang w:val="en-US"/>
        </w:rPr>
        <w:t>Teaching alone</w:t>
      </w:r>
    </w:p>
    <w:p w14:paraId="1D54CB9D" w14:textId="77777777" w:rsidR="00157A98" w:rsidRPr="009D296E" w:rsidRDefault="00157A98" w:rsidP="00157A98">
      <w:pPr>
        <w:pStyle w:val="ListParagraph"/>
        <w:numPr>
          <w:ilvl w:val="2"/>
          <w:numId w:val="37"/>
        </w:numPr>
        <w:rPr>
          <w:sz w:val="24"/>
          <w:szCs w:val="24"/>
          <w:lang w:val="en-US"/>
        </w:rPr>
      </w:pPr>
      <w:r>
        <w:rPr>
          <w:sz w:val="24"/>
          <w:szCs w:val="24"/>
          <w:lang w:val="en-US"/>
        </w:rPr>
        <w:t>Placement log</w:t>
      </w:r>
    </w:p>
    <w:p w14:paraId="5913F90F" w14:textId="77777777" w:rsidR="00157A98" w:rsidRDefault="00157A98" w:rsidP="00157A98">
      <w:pPr>
        <w:pStyle w:val="ListParagraph"/>
        <w:numPr>
          <w:ilvl w:val="1"/>
          <w:numId w:val="37"/>
        </w:numPr>
        <w:rPr>
          <w:sz w:val="24"/>
          <w:szCs w:val="24"/>
          <w:lang w:val="en-US"/>
        </w:rPr>
      </w:pPr>
      <w:r>
        <w:rPr>
          <w:sz w:val="24"/>
          <w:szCs w:val="24"/>
          <w:lang w:val="en-US"/>
        </w:rPr>
        <w:t>Part B: Being a professional</w:t>
      </w:r>
    </w:p>
    <w:p w14:paraId="6E46A909" w14:textId="77777777" w:rsidR="00157A98" w:rsidRDefault="00157A98" w:rsidP="00157A98">
      <w:pPr>
        <w:pStyle w:val="ListParagraph"/>
        <w:numPr>
          <w:ilvl w:val="2"/>
          <w:numId w:val="37"/>
        </w:numPr>
        <w:rPr>
          <w:sz w:val="24"/>
          <w:szCs w:val="24"/>
          <w:lang w:val="en-US"/>
        </w:rPr>
      </w:pPr>
      <w:r>
        <w:rPr>
          <w:sz w:val="24"/>
          <w:szCs w:val="24"/>
          <w:lang w:val="en-US"/>
        </w:rPr>
        <w:t>Developing expertise</w:t>
      </w:r>
    </w:p>
    <w:p w14:paraId="27CFB063" w14:textId="77777777" w:rsidR="00157A98" w:rsidRDefault="00157A98" w:rsidP="00157A98">
      <w:pPr>
        <w:pStyle w:val="ListParagraph"/>
        <w:numPr>
          <w:ilvl w:val="2"/>
          <w:numId w:val="37"/>
        </w:numPr>
        <w:rPr>
          <w:sz w:val="24"/>
          <w:szCs w:val="24"/>
          <w:lang w:val="en-US"/>
        </w:rPr>
      </w:pPr>
      <w:r>
        <w:rPr>
          <w:sz w:val="24"/>
          <w:szCs w:val="24"/>
          <w:lang w:val="en-US"/>
        </w:rPr>
        <w:t>Updating and CPD</w:t>
      </w:r>
    </w:p>
    <w:p w14:paraId="65AE9204" w14:textId="77777777" w:rsidR="00157A98" w:rsidRDefault="00157A98" w:rsidP="00157A98">
      <w:pPr>
        <w:pStyle w:val="ListParagraph"/>
        <w:numPr>
          <w:ilvl w:val="2"/>
          <w:numId w:val="37"/>
        </w:numPr>
        <w:rPr>
          <w:sz w:val="24"/>
          <w:szCs w:val="24"/>
          <w:lang w:val="en-US"/>
        </w:rPr>
      </w:pPr>
      <w:r>
        <w:rPr>
          <w:sz w:val="24"/>
          <w:szCs w:val="24"/>
          <w:lang w:val="en-US"/>
        </w:rPr>
        <w:t>Working with colleagues</w:t>
      </w:r>
    </w:p>
    <w:p w14:paraId="75248B4D" w14:textId="77777777" w:rsidR="00157A98" w:rsidRDefault="00157A98" w:rsidP="00157A98">
      <w:pPr>
        <w:pStyle w:val="ListParagraph"/>
        <w:numPr>
          <w:ilvl w:val="2"/>
          <w:numId w:val="37"/>
        </w:numPr>
        <w:rPr>
          <w:sz w:val="24"/>
          <w:szCs w:val="24"/>
          <w:lang w:val="en-US"/>
        </w:rPr>
      </w:pPr>
      <w:r>
        <w:rPr>
          <w:sz w:val="24"/>
          <w:szCs w:val="24"/>
          <w:lang w:val="en-US"/>
        </w:rPr>
        <w:t>Professional Status</w:t>
      </w:r>
    </w:p>
    <w:p w14:paraId="1600FFBD" w14:textId="77777777" w:rsidR="00157A98" w:rsidRDefault="00157A98" w:rsidP="00157A98">
      <w:pPr>
        <w:pStyle w:val="ListParagraph"/>
        <w:numPr>
          <w:ilvl w:val="1"/>
          <w:numId w:val="37"/>
        </w:numPr>
        <w:rPr>
          <w:sz w:val="24"/>
          <w:szCs w:val="24"/>
          <w:lang w:val="en-US"/>
        </w:rPr>
      </w:pPr>
      <w:r w:rsidRPr="009D296E">
        <w:rPr>
          <w:sz w:val="24"/>
          <w:szCs w:val="24"/>
          <w:lang w:val="en-US"/>
        </w:rPr>
        <w:t xml:space="preserve">Unit 4: The FE </w:t>
      </w:r>
      <w:r>
        <w:rPr>
          <w:sz w:val="24"/>
          <w:szCs w:val="24"/>
          <w:lang w:val="en-US"/>
        </w:rPr>
        <w:t xml:space="preserve">&amp; Skills </w:t>
      </w:r>
      <w:r w:rsidRPr="009D296E">
        <w:rPr>
          <w:sz w:val="24"/>
          <w:szCs w:val="24"/>
          <w:lang w:val="en-US"/>
        </w:rPr>
        <w:t>sector</w:t>
      </w:r>
    </w:p>
    <w:p w14:paraId="3F5FA564" w14:textId="77777777" w:rsidR="00157A98" w:rsidRDefault="00157A98" w:rsidP="00157A98">
      <w:pPr>
        <w:pStyle w:val="ListParagraph"/>
        <w:numPr>
          <w:ilvl w:val="2"/>
          <w:numId w:val="37"/>
        </w:numPr>
        <w:rPr>
          <w:sz w:val="24"/>
          <w:szCs w:val="24"/>
          <w:lang w:val="en-US"/>
        </w:rPr>
      </w:pPr>
      <w:r>
        <w:rPr>
          <w:sz w:val="24"/>
          <w:szCs w:val="24"/>
          <w:lang w:val="en-US"/>
        </w:rPr>
        <w:t>Overview of FE &amp; Skills Sector</w:t>
      </w:r>
    </w:p>
    <w:p w14:paraId="5358BBDA" w14:textId="77777777" w:rsidR="00157A98" w:rsidRDefault="00157A98" w:rsidP="00157A98">
      <w:pPr>
        <w:pStyle w:val="ListParagraph"/>
        <w:numPr>
          <w:ilvl w:val="2"/>
          <w:numId w:val="37"/>
        </w:numPr>
        <w:rPr>
          <w:sz w:val="24"/>
          <w:szCs w:val="24"/>
          <w:lang w:val="en-US"/>
        </w:rPr>
      </w:pPr>
      <w:r>
        <w:rPr>
          <w:sz w:val="24"/>
          <w:szCs w:val="24"/>
          <w:lang w:val="en-US"/>
        </w:rPr>
        <w:t>Types of programmes</w:t>
      </w:r>
    </w:p>
    <w:p w14:paraId="0E2B81D3" w14:textId="77777777" w:rsidR="00157A98" w:rsidRDefault="00157A98" w:rsidP="00157A98">
      <w:pPr>
        <w:pStyle w:val="ListParagraph"/>
        <w:numPr>
          <w:ilvl w:val="2"/>
          <w:numId w:val="37"/>
        </w:numPr>
        <w:rPr>
          <w:sz w:val="24"/>
          <w:szCs w:val="24"/>
          <w:lang w:val="en-US"/>
        </w:rPr>
      </w:pPr>
      <w:r>
        <w:rPr>
          <w:sz w:val="24"/>
          <w:szCs w:val="24"/>
          <w:lang w:val="en-US"/>
        </w:rPr>
        <w:t>Timetables</w:t>
      </w:r>
    </w:p>
    <w:p w14:paraId="36203725" w14:textId="77777777" w:rsidR="00157A98" w:rsidRDefault="00157A98" w:rsidP="00157A98">
      <w:pPr>
        <w:pStyle w:val="ListParagraph"/>
        <w:numPr>
          <w:ilvl w:val="2"/>
          <w:numId w:val="37"/>
        </w:numPr>
        <w:rPr>
          <w:sz w:val="24"/>
          <w:szCs w:val="24"/>
          <w:lang w:val="en-US"/>
        </w:rPr>
      </w:pPr>
      <w:r>
        <w:rPr>
          <w:sz w:val="24"/>
          <w:szCs w:val="24"/>
          <w:lang w:val="en-US"/>
        </w:rPr>
        <w:t>Contracts</w:t>
      </w:r>
    </w:p>
    <w:p w14:paraId="0CF068D3" w14:textId="77777777" w:rsidR="00157A98" w:rsidRDefault="00157A98" w:rsidP="00157A98">
      <w:pPr>
        <w:pStyle w:val="ListParagraph"/>
        <w:numPr>
          <w:ilvl w:val="2"/>
          <w:numId w:val="37"/>
        </w:numPr>
        <w:rPr>
          <w:sz w:val="24"/>
          <w:szCs w:val="24"/>
          <w:lang w:val="en-US"/>
        </w:rPr>
      </w:pPr>
      <w:r>
        <w:rPr>
          <w:sz w:val="24"/>
          <w:szCs w:val="24"/>
          <w:lang w:val="en-US"/>
        </w:rPr>
        <w:t>Govt policy</w:t>
      </w:r>
    </w:p>
    <w:p w14:paraId="7DF22D15" w14:textId="77777777" w:rsidR="00157A98" w:rsidRDefault="00157A98" w:rsidP="00157A98">
      <w:pPr>
        <w:pStyle w:val="ListParagraph"/>
        <w:numPr>
          <w:ilvl w:val="2"/>
          <w:numId w:val="37"/>
        </w:numPr>
        <w:rPr>
          <w:sz w:val="24"/>
          <w:szCs w:val="24"/>
          <w:lang w:val="en-US"/>
        </w:rPr>
      </w:pPr>
      <w:r>
        <w:rPr>
          <w:sz w:val="24"/>
          <w:szCs w:val="24"/>
          <w:lang w:val="en-US"/>
        </w:rPr>
        <w:t>Regulations [legal and local]</w:t>
      </w:r>
    </w:p>
    <w:p w14:paraId="4EB874F1" w14:textId="77777777" w:rsidR="00157A98" w:rsidRDefault="00157A98" w:rsidP="00157A98">
      <w:pPr>
        <w:pStyle w:val="ListParagraph"/>
        <w:numPr>
          <w:ilvl w:val="2"/>
          <w:numId w:val="37"/>
        </w:numPr>
        <w:rPr>
          <w:sz w:val="24"/>
          <w:szCs w:val="24"/>
          <w:lang w:val="en-US"/>
        </w:rPr>
      </w:pPr>
      <w:r>
        <w:rPr>
          <w:sz w:val="24"/>
          <w:szCs w:val="24"/>
          <w:lang w:val="en-US"/>
        </w:rPr>
        <w:t>Funding</w:t>
      </w:r>
    </w:p>
    <w:p w14:paraId="156B1433" w14:textId="77777777" w:rsidR="00157A98" w:rsidRPr="009D296E" w:rsidRDefault="00157A98" w:rsidP="00157A98">
      <w:pPr>
        <w:pStyle w:val="ListParagraph"/>
        <w:numPr>
          <w:ilvl w:val="2"/>
          <w:numId w:val="37"/>
        </w:numPr>
        <w:rPr>
          <w:sz w:val="24"/>
          <w:szCs w:val="24"/>
          <w:lang w:val="en-US"/>
        </w:rPr>
      </w:pPr>
      <w:r>
        <w:rPr>
          <w:sz w:val="24"/>
          <w:szCs w:val="24"/>
          <w:lang w:val="en-US"/>
        </w:rPr>
        <w:t>Organizational and wider support</w:t>
      </w:r>
    </w:p>
    <w:p w14:paraId="47F2A96A" w14:textId="77777777" w:rsidR="00157A98" w:rsidRDefault="00157A98" w:rsidP="00157A98">
      <w:pPr>
        <w:pStyle w:val="ListParagraph"/>
        <w:numPr>
          <w:ilvl w:val="1"/>
          <w:numId w:val="37"/>
        </w:numPr>
        <w:rPr>
          <w:sz w:val="24"/>
          <w:szCs w:val="24"/>
          <w:lang w:val="en-US"/>
        </w:rPr>
      </w:pPr>
      <w:r w:rsidRPr="009D296E">
        <w:rPr>
          <w:sz w:val="24"/>
          <w:szCs w:val="24"/>
          <w:lang w:val="en-US"/>
        </w:rPr>
        <w:t>Unit 5: Subject specific teaching</w:t>
      </w:r>
    </w:p>
    <w:p w14:paraId="435A2CE3" w14:textId="77777777" w:rsidR="00157A98" w:rsidRDefault="00157A98" w:rsidP="00157A98">
      <w:pPr>
        <w:pStyle w:val="ListParagraph"/>
        <w:numPr>
          <w:ilvl w:val="2"/>
          <w:numId w:val="37"/>
        </w:numPr>
        <w:rPr>
          <w:sz w:val="24"/>
          <w:szCs w:val="24"/>
          <w:lang w:val="en-US"/>
        </w:rPr>
      </w:pPr>
      <w:r>
        <w:rPr>
          <w:sz w:val="24"/>
          <w:szCs w:val="24"/>
          <w:lang w:val="en-US"/>
        </w:rPr>
        <w:t>Teaching your subject</w:t>
      </w:r>
    </w:p>
    <w:p w14:paraId="7578D116" w14:textId="77777777" w:rsidR="00157A98" w:rsidRDefault="00157A98" w:rsidP="00157A98">
      <w:pPr>
        <w:pStyle w:val="ListParagraph"/>
        <w:numPr>
          <w:ilvl w:val="2"/>
          <w:numId w:val="37"/>
        </w:numPr>
        <w:rPr>
          <w:sz w:val="24"/>
          <w:szCs w:val="24"/>
          <w:lang w:val="en-US"/>
        </w:rPr>
      </w:pPr>
      <w:r>
        <w:rPr>
          <w:sz w:val="24"/>
          <w:szCs w:val="24"/>
          <w:lang w:val="en-US"/>
        </w:rPr>
        <w:t>Particular approaches, tricks and tips</w:t>
      </w:r>
    </w:p>
    <w:p w14:paraId="36FA23EA" w14:textId="77777777" w:rsidR="00157A98" w:rsidRDefault="00157A98" w:rsidP="00157A98">
      <w:pPr>
        <w:pStyle w:val="ListParagraph"/>
        <w:numPr>
          <w:ilvl w:val="2"/>
          <w:numId w:val="37"/>
        </w:numPr>
        <w:rPr>
          <w:sz w:val="24"/>
          <w:szCs w:val="24"/>
          <w:lang w:val="en-US"/>
        </w:rPr>
      </w:pPr>
      <w:r>
        <w:rPr>
          <w:sz w:val="24"/>
          <w:szCs w:val="24"/>
          <w:lang w:val="en-US"/>
        </w:rPr>
        <w:t>Difficult areas</w:t>
      </w:r>
    </w:p>
    <w:p w14:paraId="3540A9A4" w14:textId="77777777" w:rsidR="00157A98" w:rsidRDefault="00157A98" w:rsidP="00157A98">
      <w:pPr>
        <w:pStyle w:val="ListParagraph"/>
        <w:numPr>
          <w:ilvl w:val="2"/>
          <w:numId w:val="37"/>
        </w:numPr>
        <w:rPr>
          <w:sz w:val="24"/>
          <w:szCs w:val="24"/>
          <w:lang w:val="en-US"/>
        </w:rPr>
      </w:pPr>
      <w:r>
        <w:rPr>
          <w:sz w:val="24"/>
          <w:szCs w:val="24"/>
          <w:lang w:val="en-US"/>
        </w:rPr>
        <w:t>Required wider/prerequisite knowledge</w:t>
      </w:r>
    </w:p>
    <w:p w14:paraId="0CB8C60F" w14:textId="77777777" w:rsidR="00157A98" w:rsidRDefault="00157A98" w:rsidP="00157A98">
      <w:pPr>
        <w:pStyle w:val="ListParagraph"/>
        <w:numPr>
          <w:ilvl w:val="2"/>
          <w:numId w:val="37"/>
        </w:numPr>
        <w:rPr>
          <w:sz w:val="24"/>
          <w:szCs w:val="24"/>
          <w:lang w:val="en-US"/>
        </w:rPr>
      </w:pPr>
      <w:r>
        <w:rPr>
          <w:sz w:val="24"/>
          <w:szCs w:val="24"/>
          <w:lang w:val="en-US"/>
        </w:rPr>
        <w:t>Sustainability in your area</w:t>
      </w:r>
    </w:p>
    <w:p w14:paraId="2792D9E2" w14:textId="77777777" w:rsidR="00157A98" w:rsidRPr="009D296E" w:rsidRDefault="00157A98" w:rsidP="00157A98">
      <w:pPr>
        <w:pStyle w:val="ListParagraph"/>
        <w:numPr>
          <w:ilvl w:val="2"/>
          <w:numId w:val="37"/>
        </w:numPr>
        <w:rPr>
          <w:sz w:val="24"/>
          <w:szCs w:val="24"/>
          <w:lang w:val="en-US"/>
        </w:rPr>
      </w:pPr>
      <w:r>
        <w:rPr>
          <w:sz w:val="24"/>
          <w:szCs w:val="24"/>
          <w:lang w:val="en-US"/>
        </w:rPr>
        <w:t>Progression advice</w:t>
      </w:r>
    </w:p>
    <w:p w14:paraId="47BD81ED" w14:textId="77777777" w:rsidR="00157A98" w:rsidRDefault="00157A98" w:rsidP="00157A98">
      <w:pPr>
        <w:pStyle w:val="ListParagraph"/>
        <w:numPr>
          <w:ilvl w:val="1"/>
          <w:numId w:val="37"/>
        </w:numPr>
        <w:rPr>
          <w:sz w:val="24"/>
          <w:szCs w:val="24"/>
          <w:lang w:val="en-US"/>
        </w:rPr>
      </w:pPr>
      <w:r w:rsidRPr="009D296E">
        <w:rPr>
          <w:sz w:val="24"/>
          <w:szCs w:val="24"/>
          <w:lang w:val="en-US"/>
        </w:rPr>
        <w:t xml:space="preserve">Unit </w:t>
      </w:r>
      <w:r>
        <w:rPr>
          <w:sz w:val="24"/>
          <w:szCs w:val="24"/>
          <w:lang w:val="en-US"/>
        </w:rPr>
        <w:t>6</w:t>
      </w:r>
      <w:r w:rsidRPr="009D296E">
        <w:rPr>
          <w:sz w:val="24"/>
          <w:szCs w:val="24"/>
          <w:lang w:val="en-US"/>
        </w:rPr>
        <w:t xml:space="preserve">: </w:t>
      </w:r>
      <w:r>
        <w:rPr>
          <w:sz w:val="24"/>
          <w:szCs w:val="24"/>
          <w:lang w:val="en-US"/>
        </w:rPr>
        <w:t>Effective on-line pedagogies</w:t>
      </w:r>
    </w:p>
    <w:p w14:paraId="4C2E3E3C" w14:textId="77777777" w:rsidR="00157A98" w:rsidRDefault="00157A98" w:rsidP="00157A98">
      <w:pPr>
        <w:pStyle w:val="ListParagraph"/>
        <w:numPr>
          <w:ilvl w:val="2"/>
          <w:numId w:val="37"/>
        </w:numPr>
        <w:rPr>
          <w:sz w:val="24"/>
          <w:szCs w:val="24"/>
          <w:lang w:val="en-US"/>
        </w:rPr>
      </w:pPr>
      <w:r>
        <w:rPr>
          <w:sz w:val="24"/>
          <w:szCs w:val="24"/>
          <w:lang w:val="en-US"/>
        </w:rPr>
        <w:t>Range of Ed Tech</w:t>
      </w:r>
    </w:p>
    <w:p w14:paraId="2516552C" w14:textId="77777777" w:rsidR="00157A98" w:rsidRPr="000B5B07" w:rsidRDefault="00157A98" w:rsidP="00157A98">
      <w:pPr>
        <w:pStyle w:val="ListParagraph"/>
        <w:numPr>
          <w:ilvl w:val="2"/>
          <w:numId w:val="37"/>
        </w:numPr>
        <w:rPr>
          <w:sz w:val="24"/>
          <w:szCs w:val="24"/>
          <w:lang w:val="en-US"/>
        </w:rPr>
      </w:pPr>
      <w:r>
        <w:rPr>
          <w:sz w:val="24"/>
          <w:szCs w:val="24"/>
          <w:lang w:val="en-US"/>
        </w:rPr>
        <w:t>Managing digital delivery</w:t>
      </w:r>
    </w:p>
    <w:p w14:paraId="2827B051" w14:textId="32DBE81A" w:rsidR="00E550A2" w:rsidRDefault="00426F87">
      <w:pPr>
        <w:ind w:left="55" w:right="5"/>
      </w:pPr>
      <w:r>
        <w:t>For each of these</w:t>
      </w:r>
      <w:r w:rsidR="00F60068">
        <w:t xml:space="preserve"> heading</w:t>
      </w:r>
      <w:r w:rsidR="00E12F66">
        <w:t>s</w:t>
      </w:r>
      <w:r w:rsidR="00F60068">
        <w:t xml:space="preserve"> </w:t>
      </w:r>
      <w:r>
        <w:t>the</w:t>
      </w:r>
      <w:r w:rsidR="00F60068">
        <w:t>re</w:t>
      </w:r>
      <w:r>
        <w:t xml:space="preserve"> is</w:t>
      </w:r>
      <w:r w:rsidR="00F60068">
        <w:t xml:space="preserve"> provided some indicative content in the appendices. It is for Awarding Organisations to set the fine detail of these units</w:t>
      </w:r>
      <w:r w:rsidR="002B3A96">
        <w:t>.</w:t>
      </w:r>
    </w:p>
    <w:p w14:paraId="4A4598BB" w14:textId="77777777" w:rsidR="00E550A2" w:rsidRDefault="00E550A2">
      <w:pPr>
        <w:ind w:left="55" w:right="5"/>
      </w:pPr>
    </w:p>
    <w:p w14:paraId="4926ECD2" w14:textId="5C02E210" w:rsidR="00A854F9" w:rsidRDefault="008320A7">
      <w:pPr>
        <w:pStyle w:val="Heading2"/>
        <w:spacing w:after="197"/>
        <w:ind w:left="55"/>
      </w:pPr>
      <w:r>
        <w:t>4</w:t>
      </w:r>
      <w:r w:rsidR="006644B5">
        <w:t>.</w:t>
      </w:r>
      <w:r>
        <w:t>3</w:t>
      </w:r>
      <w:r w:rsidR="006644B5">
        <w:t xml:space="preserve"> </w:t>
      </w:r>
      <w:r>
        <w:t>Option units</w:t>
      </w:r>
    </w:p>
    <w:p w14:paraId="60F98C0C" w14:textId="1A465FB2" w:rsidR="009B08BD" w:rsidRDefault="009B08BD">
      <w:pPr>
        <w:spacing w:after="27"/>
        <w:ind w:left="55" w:right="5"/>
      </w:pPr>
      <w:r>
        <w:t>ETF has not prescribed the options units to be available as part of these qualifications</w:t>
      </w:r>
      <w:r w:rsidR="00EA4749">
        <w:t>. The Core structure is sufficient to allow</w:t>
      </w:r>
      <w:r w:rsidR="00047A18">
        <w:t xml:space="preserve"> the acquisition and consolidation of the knowledge and skills to achieve the occupational standards. The </w:t>
      </w:r>
      <w:r w:rsidR="00F65C2C">
        <w:t xml:space="preserve">Awarding Organisations have been allowed flexibility in their offer of option units to </w:t>
      </w:r>
      <w:r w:rsidR="00B63508">
        <w:t xml:space="preserve">allow their programmes to </w:t>
      </w:r>
      <w:r w:rsidR="00F65C2C">
        <w:t>reflect particular emphases in</w:t>
      </w:r>
      <w:r w:rsidR="00B63508">
        <w:t xml:space="preserve"> certain parts of the FE market. </w:t>
      </w:r>
      <w:r w:rsidR="00151E0D">
        <w:t>However option units should clearly be in the realm of FE teaching and should be chosen to enhance the particular trainee</w:t>
      </w:r>
      <w:r w:rsidR="005A6821">
        <w:t>’</w:t>
      </w:r>
      <w:r w:rsidR="00151E0D">
        <w:t>s chosen path</w:t>
      </w:r>
      <w:r w:rsidR="00F769FE">
        <w:t>way within the sector.</w:t>
      </w:r>
    </w:p>
    <w:p w14:paraId="74EA7B6E" w14:textId="77777777" w:rsidR="009B08BD" w:rsidRDefault="009B08BD">
      <w:pPr>
        <w:spacing w:after="27"/>
        <w:ind w:left="55" w:right="5"/>
      </w:pPr>
    </w:p>
    <w:p w14:paraId="1CA3CDEA" w14:textId="360C7F16" w:rsidR="00F55129" w:rsidRDefault="00F55129" w:rsidP="00F55129">
      <w:pPr>
        <w:pStyle w:val="Heading2"/>
        <w:spacing w:after="197"/>
        <w:ind w:left="55"/>
      </w:pPr>
      <w:r>
        <w:t>4.4 Assessment</w:t>
      </w:r>
    </w:p>
    <w:p w14:paraId="187431C2" w14:textId="1EF81944" w:rsidR="00F55129" w:rsidRDefault="001E5C37" w:rsidP="00F55129">
      <w:r>
        <w:tab/>
      </w:r>
      <w:r w:rsidR="00B24546">
        <w:t>The assessment model to be used on this qualification involves a final judgement based on a viva</w:t>
      </w:r>
      <w:r w:rsidR="00B739F2">
        <w:t>-</w:t>
      </w:r>
      <w:r w:rsidR="00B24546">
        <w:t>type interview supported by a professional portfolio that the trainee has assembled during the course</w:t>
      </w:r>
      <w:r w:rsidR="00B739F2">
        <w:t xml:space="preserve">. The interview will be conducted by </w:t>
      </w:r>
      <w:r w:rsidR="00DD0B62">
        <w:t xml:space="preserve">two people: </w:t>
      </w:r>
      <w:r w:rsidR="00B739F2">
        <w:t>a member of the qualification provider’s team [preferably the trainee’s course tutor]</w:t>
      </w:r>
      <w:r w:rsidR="00DD0B62">
        <w:t xml:space="preserve">, and the </w:t>
      </w:r>
      <w:r w:rsidR="009C0173">
        <w:t xml:space="preserve">subject mentor from the workplace. </w:t>
      </w:r>
      <w:r w:rsidR="00F932DF">
        <w:t>The interview should be approx. 45 minutes and w</w:t>
      </w:r>
      <w:r w:rsidR="00C67C53">
        <w:t>i</w:t>
      </w:r>
      <w:r w:rsidR="00F932DF">
        <w:t>ll seek to establish that the trainee is working</w:t>
      </w:r>
      <w:r w:rsidR="00C67C53">
        <w:t xml:space="preserve"> at a level of competence which meets the occupational standards</w:t>
      </w:r>
      <w:r w:rsidR="008025DF">
        <w:t>. The interviewers will have access to the trainees portfolio in advance to allow at least 45 minutes examination</w:t>
      </w:r>
      <w:r w:rsidR="004A5D6C">
        <w:t xml:space="preserve">. </w:t>
      </w:r>
      <w:commentRangeStart w:id="1"/>
      <w:r w:rsidR="004A5D6C">
        <w:t>The interviewers are free to choose whichever areas of the standards they wish to explore</w:t>
      </w:r>
      <w:r w:rsidR="00FB1C2E">
        <w:t xml:space="preserve"> in their reading and questioning and </w:t>
      </w:r>
      <w:r w:rsidR="004A5D6C">
        <w:t>must keep records of their questions and the trainee responses</w:t>
      </w:r>
      <w:r w:rsidR="00FB1C2E">
        <w:t xml:space="preserve">. The discussion should seek to give an overall picture of the trainee’s </w:t>
      </w:r>
      <w:r w:rsidR="00AC70DC">
        <w:t>competence.</w:t>
      </w:r>
      <w:commentRangeEnd w:id="1"/>
      <w:r w:rsidR="004602FE">
        <w:rPr>
          <w:rStyle w:val="CommentReference"/>
        </w:rPr>
        <w:commentReference w:id="1"/>
      </w:r>
    </w:p>
    <w:p w14:paraId="2EEDFB81" w14:textId="3E125440" w:rsidR="002452BF" w:rsidRDefault="002452BF" w:rsidP="00F55129">
      <w:r>
        <w:t>This entails that all on-course assessment is formative and in no way contributes to the final assessment</w:t>
      </w:r>
      <w:r w:rsidR="007F2411">
        <w:t>, with the exception of observation</w:t>
      </w:r>
      <w:r w:rsidR="00453D03">
        <w:t xml:space="preserve">: prior to undertaking the </w:t>
      </w:r>
      <w:r w:rsidR="00BC4D56">
        <w:t>final assessment the trainee must have achieved a satisfactory observation.</w:t>
      </w:r>
    </w:p>
    <w:p w14:paraId="5997F4EE" w14:textId="77777777" w:rsidR="00144C7E" w:rsidRDefault="00144C7E" w:rsidP="00144C7E">
      <w:pPr>
        <w:pStyle w:val="Heading2"/>
        <w:spacing w:after="197"/>
        <w:ind w:left="55"/>
      </w:pPr>
    </w:p>
    <w:p w14:paraId="686C9EAF" w14:textId="15F7E8D6" w:rsidR="00144C7E" w:rsidRDefault="00144C7E" w:rsidP="00144C7E">
      <w:pPr>
        <w:pStyle w:val="Heading2"/>
        <w:spacing w:after="197"/>
        <w:ind w:left="55"/>
      </w:pPr>
      <w:r>
        <w:t>4.4.1 Observations</w:t>
      </w:r>
    </w:p>
    <w:p w14:paraId="6036EDF8" w14:textId="2E46B355" w:rsidR="00144C7E" w:rsidRDefault="00C34BEA" w:rsidP="00F55129">
      <w:r>
        <w:t>All candidates must undergo 10 observations</w:t>
      </w:r>
      <w:r w:rsidR="002A36F9">
        <w:t xml:space="preserve"> and the final one will be assessed as being satisfactory, not </w:t>
      </w:r>
      <w:r w:rsidR="00CC07BF">
        <w:t>y</w:t>
      </w:r>
      <w:r w:rsidR="002A36F9">
        <w:t>et satisfactory, against the occupational standards</w:t>
      </w:r>
      <w:r w:rsidR="00CC07BF">
        <w:t>. Progression to final</w:t>
      </w:r>
      <w:r w:rsidR="00005432">
        <w:t xml:space="preserve"> assessment is dependent upon the satisfactory observation: it is inappropriate for a trainee to be considered for final assessment as a fully qualified teacher if they cannot achieve a satisfactory observation of a live teaching session</w:t>
      </w:r>
      <w:r w:rsidR="00A972B1">
        <w:t>. This observation must relate to a face to face session</w:t>
      </w:r>
      <w:r w:rsidR="00B56DEE">
        <w:t xml:space="preserve"> and include a group of at least 10 learners.</w:t>
      </w:r>
      <w:r w:rsidR="00EA0D83">
        <w:t xml:space="preserve"> The observation</w:t>
      </w:r>
      <w:r w:rsidR="00C344DE">
        <w:t>s</w:t>
      </w:r>
      <w:r w:rsidR="00EA0D83">
        <w:t xml:space="preserve"> must be conducted by the provider tutor and/or the placement mentor</w:t>
      </w:r>
      <w:r w:rsidR="00C344DE">
        <w:t xml:space="preserve">, </w:t>
      </w:r>
      <w:r w:rsidR="001B60E3">
        <w:t>a</w:t>
      </w:r>
      <w:r w:rsidR="00C344DE">
        <w:t xml:space="preserve">nd the final </w:t>
      </w:r>
      <w:r w:rsidR="001B60E3">
        <w:t>observation</w:t>
      </w:r>
      <w:r w:rsidR="00C344DE">
        <w:t xml:space="preserve"> </w:t>
      </w:r>
      <w:commentRangeStart w:id="2"/>
      <w:r w:rsidR="00C344DE">
        <w:t>must be</w:t>
      </w:r>
      <w:r w:rsidR="001B60E3">
        <w:t xml:space="preserve"> conducted by a </w:t>
      </w:r>
      <w:r w:rsidR="00D436FB">
        <w:t xml:space="preserve">fully </w:t>
      </w:r>
      <w:r w:rsidR="001B60E3">
        <w:t>qualified teacher.</w:t>
      </w:r>
      <w:r w:rsidR="00E17C2F">
        <w:t xml:space="preserve"> </w:t>
      </w:r>
      <w:commentRangeEnd w:id="2"/>
      <w:r w:rsidR="00387E57">
        <w:rPr>
          <w:rStyle w:val="CommentReference"/>
        </w:rPr>
        <w:commentReference w:id="2"/>
      </w:r>
      <w:r w:rsidR="00E17C2F">
        <w:t>The Awarding Organisation may choose to provide some guidance to accompany the final observation.</w:t>
      </w:r>
    </w:p>
    <w:p w14:paraId="56F4AB51" w14:textId="77777777" w:rsidR="00144C7E" w:rsidRDefault="00144C7E" w:rsidP="00F55129"/>
    <w:p w14:paraId="08FB5173" w14:textId="77777777" w:rsidR="00E058F9" w:rsidRDefault="00E058F9" w:rsidP="00F55129"/>
    <w:p w14:paraId="5BCD64F8" w14:textId="56DF8F52" w:rsidR="00A67708" w:rsidRDefault="00A67708" w:rsidP="00A67708">
      <w:pPr>
        <w:pStyle w:val="Heading2"/>
        <w:spacing w:after="197"/>
        <w:ind w:left="55"/>
      </w:pPr>
      <w:r>
        <w:t>4.</w:t>
      </w:r>
      <w:r w:rsidR="00F15068">
        <w:t>5</w:t>
      </w:r>
      <w:r>
        <w:t xml:space="preserve"> </w:t>
      </w:r>
      <w:r w:rsidR="00F15068">
        <w:t>Entry criteria</w:t>
      </w:r>
    </w:p>
    <w:p w14:paraId="22A77B8B" w14:textId="71E2A6B4" w:rsidR="00BB4795" w:rsidRDefault="00F15068" w:rsidP="00045D31">
      <w:r>
        <w:t>These are for the Awarding Organisations to determine</w:t>
      </w:r>
      <w:r w:rsidR="00BB4795">
        <w:t>. However</w:t>
      </w:r>
      <w:r w:rsidR="00045D31">
        <w:t xml:space="preserve"> i</w:t>
      </w:r>
      <w:r w:rsidR="00BB4795">
        <w:t>n order to be able to teach their subjects need to be qualified and/or experienced in th</w:t>
      </w:r>
      <w:r w:rsidR="00045D31">
        <w:t>at</w:t>
      </w:r>
      <w:r w:rsidR="00BB4795">
        <w:t xml:space="preserve"> subject</w:t>
      </w:r>
      <w:r w:rsidR="00045D31">
        <w:t>.</w:t>
      </w:r>
      <w:r w:rsidR="00BB4795">
        <w:t xml:space="preserve"> Those intending to teach academic subjects would usually be expected to have a degree in their subject specialism. Those intending to teach in professional or vocational areas would usually be expected to have a professional or industry qualification and experience of working in their respective sector. There is a general expectation in the sector that a teacher should be qualified to at least one level above that at which they intend to teach. In some vocational areas this may be problematic but a reasonable expectation is that they hold the highest level trade qualification available, unless they have particularly substantial professional experience. </w:t>
      </w:r>
    </w:p>
    <w:p w14:paraId="1F22377C" w14:textId="7EB75FB1" w:rsidR="00C62638" w:rsidRDefault="00C62638" w:rsidP="00045D31"/>
    <w:p w14:paraId="551595C1" w14:textId="4D2D5E02" w:rsidR="00DD428B" w:rsidRDefault="00060ACF" w:rsidP="00045D31">
      <w:r>
        <w:t>This qualification</w:t>
      </w:r>
      <w:r w:rsidR="00DD428B">
        <w:t xml:space="preserve"> is a minimum level 5 and hence it is essential that all entrants are able to demonstrate an ability to study at level 5</w:t>
      </w:r>
      <w:r w:rsidR="003F2642">
        <w:t xml:space="preserve"> [or above on the case of relevant HEI provision].</w:t>
      </w:r>
    </w:p>
    <w:p w14:paraId="5BDF0CB9" w14:textId="682B02C1" w:rsidR="00C62638" w:rsidRDefault="00C62638" w:rsidP="00045D31">
      <w:r>
        <w:t>As the exit requirement of the qualificat</w:t>
      </w:r>
      <w:r w:rsidR="00EC4192">
        <w:t>i</w:t>
      </w:r>
      <w:r>
        <w:t>on i</w:t>
      </w:r>
      <w:r w:rsidR="00EC4192">
        <w:t>nclude</w:t>
      </w:r>
      <w:r>
        <w:t xml:space="preserve">s </w:t>
      </w:r>
      <w:r w:rsidR="007F6DCE">
        <w:t>achievers hav</w:t>
      </w:r>
      <w:r w:rsidR="00EC4192">
        <w:t>ing</w:t>
      </w:r>
      <w:r w:rsidR="007F6DCE">
        <w:t xml:space="preserve"> also gained level 2 in maths &amp; English, the potential support needs of applicants should be</w:t>
      </w:r>
      <w:r w:rsidR="001B7E35">
        <w:t xml:space="preserve"> </w:t>
      </w:r>
      <w:r w:rsidR="007F6DCE">
        <w:t xml:space="preserve">assessed if </w:t>
      </w:r>
      <w:r w:rsidR="001B7E35">
        <w:t xml:space="preserve">they do </w:t>
      </w:r>
      <w:r w:rsidR="008F7099">
        <w:t>n</w:t>
      </w:r>
      <w:r w:rsidR="001B7E35">
        <w:t>ot already hold these levels</w:t>
      </w:r>
      <w:r w:rsidR="008F7099">
        <w:t>,</w:t>
      </w:r>
      <w:r w:rsidR="001B7E35">
        <w:t xml:space="preserve"> and suitable support </w:t>
      </w:r>
      <w:r w:rsidR="008F7099">
        <w:t xml:space="preserve">should  be </w:t>
      </w:r>
      <w:r w:rsidR="001B7E35">
        <w:t>made available during the programme.</w:t>
      </w:r>
    </w:p>
    <w:p w14:paraId="6A002565" w14:textId="77777777" w:rsidR="00BB4795" w:rsidRPr="00F55129" w:rsidRDefault="00BB4795" w:rsidP="00F55129"/>
    <w:p w14:paraId="5403C290" w14:textId="1A58DF8F" w:rsidR="002C465C" w:rsidRDefault="002C465C" w:rsidP="002C465C">
      <w:pPr>
        <w:pStyle w:val="Heading2"/>
        <w:spacing w:after="197"/>
        <w:ind w:left="55"/>
      </w:pPr>
      <w:r>
        <w:t>4.6 Accreditation of prior le</w:t>
      </w:r>
      <w:r w:rsidR="00CA0744">
        <w:t>a</w:t>
      </w:r>
      <w:r>
        <w:t>rning</w:t>
      </w:r>
    </w:p>
    <w:p w14:paraId="04067167" w14:textId="78FB915F" w:rsidR="009B08BD" w:rsidRDefault="00CA0744">
      <w:pPr>
        <w:spacing w:after="27"/>
        <w:ind w:left="55" w:right="5"/>
      </w:pPr>
      <w:r>
        <w:t>Accreditation of prior learning is for providers to decide</w:t>
      </w:r>
      <w:r w:rsidR="006A5F47">
        <w:t>, u</w:t>
      </w:r>
      <w:r w:rsidR="00633DB9">
        <w:t>s</w:t>
      </w:r>
      <w:r w:rsidR="006A5F47">
        <w:t>ing reasonable judgement, at the discretion and approval of the Awarding Organisation.</w:t>
      </w:r>
      <w:r w:rsidR="0063334C">
        <w:t xml:space="preserve"> </w:t>
      </w:r>
      <w:r w:rsidR="00633DB9">
        <w:t>Both parties must be satisfied that the evidence is valid, sufficient, authentic and current</w:t>
      </w:r>
      <w:r w:rsidR="007C7629">
        <w:t xml:space="preserve"> in order to gain any credit against the content of this </w:t>
      </w:r>
      <w:r w:rsidR="00187750">
        <w:t>qualification and</w:t>
      </w:r>
      <w:r w:rsidR="00E1398E">
        <w:t>,</w:t>
      </w:r>
      <w:r w:rsidR="00187750">
        <w:t xml:space="preserve"> except in the case of recognised qualifications where there is a clear one to one mapping, some synoptic assessment </w:t>
      </w:r>
      <w:r w:rsidR="00E1398E">
        <w:t xml:space="preserve">would be deemed appropriate. Any such APL granted should be </w:t>
      </w:r>
      <w:r w:rsidR="007B552D">
        <w:t xml:space="preserve">made </w:t>
      </w:r>
      <w:r w:rsidR="00E1398E">
        <w:t>available to external examination/quality assurance</w:t>
      </w:r>
      <w:r w:rsidR="007B552D">
        <w:t xml:space="preserve"> for countersignature.</w:t>
      </w:r>
    </w:p>
    <w:p w14:paraId="5D02FDF0" w14:textId="77777777" w:rsidR="009B08BD" w:rsidRDefault="009B08BD">
      <w:pPr>
        <w:spacing w:after="27"/>
        <w:ind w:left="55" w:right="5"/>
      </w:pPr>
    </w:p>
    <w:p w14:paraId="6B2A304F" w14:textId="434D2B9E" w:rsidR="00CC32D9" w:rsidRDefault="00CC32D9" w:rsidP="00CC32D9">
      <w:pPr>
        <w:pStyle w:val="Heading2"/>
        <w:spacing w:after="197"/>
        <w:ind w:left="55"/>
      </w:pPr>
      <w:r>
        <w:t>4.7 Relationship to other FE teaching qualifications</w:t>
      </w:r>
    </w:p>
    <w:p w14:paraId="3A9B0896" w14:textId="5857C924" w:rsidR="009B08BD" w:rsidRDefault="00CC32D9">
      <w:pPr>
        <w:spacing w:after="27"/>
        <w:ind w:left="55" w:right="5"/>
      </w:pPr>
      <w:r>
        <w:t xml:space="preserve">At the time of writing this guidance, the review process has not yet reached the </w:t>
      </w:r>
      <w:r w:rsidR="00846642">
        <w:t>level 3, Award in Education &amp; Training</w:t>
      </w:r>
      <w:r w:rsidR="0096230E">
        <w:t xml:space="preserve"> (AET)</w:t>
      </w:r>
      <w:r w:rsidR="00846642">
        <w:t>, and the level 4, Certificate in Education &amp; Training</w:t>
      </w:r>
      <w:r w:rsidR="0096230E">
        <w:t xml:space="preserve"> (CET). These two qualifications were written </w:t>
      </w:r>
      <w:r w:rsidR="00492A2D">
        <w:t xml:space="preserve">in 2013 </w:t>
      </w:r>
      <w:r w:rsidR="0096230E">
        <w:t>as free standing</w:t>
      </w:r>
      <w:r w:rsidR="008E2832">
        <w:t xml:space="preserve"> awards and a</w:t>
      </w:r>
      <w:r w:rsidR="00492A2D">
        <w:t>s they are now dated, the process for their review/rewrite will begin shortly.</w:t>
      </w:r>
      <w:r w:rsidR="001D0D05">
        <w:t xml:space="preserve"> However there is as yet no relationship between what still exists and the foregoing new level 5 qualification</w:t>
      </w:r>
      <w:r w:rsidR="001F6558">
        <w:t>. There is therefore an expectation that the AET &amp; CET would play no role in APL</w:t>
      </w:r>
      <w:r w:rsidR="00514095">
        <w:t xml:space="preserve"> issues in the case of this now Professional Diploma.</w:t>
      </w:r>
      <w:r w:rsidR="000738D9">
        <w:t xml:space="preserve"> The </w:t>
      </w:r>
      <w:r w:rsidR="00F06008">
        <w:t>r</w:t>
      </w:r>
      <w:r w:rsidR="000738D9">
        <w:t xml:space="preserve">eview process will examine </w:t>
      </w:r>
      <w:r w:rsidR="00900E92">
        <w:t>demand for qualifications of this type and level, and also look at questions of the desirability of creating some form of progression route to fully qualified status via these lesser</w:t>
      </w:r>
      <w:r w:rsidR="0060781A">
        <w:t xml:space="preserve"> </w:t>
      </w:r>
      <w:r w:rsidR="00900E92">
        <w:t>qualifications</w:t>
      </w:r>
      <w:r w:rsidR="0060781A">
        <w:t>.</w:t>
      </w:r>
      <w:r w:rsidR="006B0083">
        <w:t xml:space="preserve"> This guidance will be updated to reflect any now recommendations as necessary.</w:t>
      </w:r>
    </w:p>
    <w:p w14:paraId="3ACC4172" w14:textId="77777777" w:rsidR="00EF136C" w:rsidRDefault="00EF136C">
      <w:pPr>
        <w:spacing w:after="27"/>
        <w:ind w:left="55" w:right="5"/>
      </w:pPr>
    </w:p>
    <w:p w14:paraId="2B3329D0" w14:textId="77777777" w:rsidR="00A40C88" w:rsidRDefault="00A40C88">
      <w:pPr>
        <w:spacing w:after="0" w:line="259" w:lineRule="auto"/>
        <w:ind w:left="60" w:firstLine="0"/>
      </w:pPr>
    </w:p>
    <w:p w14:paraId="47098877" w14:textId="77777777" w:rsidR="00A40C88" w:rsidRDefault="00A40C88">
      <w:pPr>
        <w:spacing w:after="0" w:line="259" w:lineRule="auto"/>
        <w:ind w:left="60" w:firstLine="0"/>
      </w:pPr>
    </w:p>
    <w:p w14:paraId="4B43BD03" w14:textId="77777777" w:rsidR="00A40C88" w:rsidRDefault="00A40C88">
      <w:pPr>
        <w:spacing w:after="0" w:line="259" w:lineRule="auto"/>
        <w:ind w:left="60" w:firstLine="0"/>
      </w:pPr>
    </w:p>
    <w:p w14:paraId="06F41267" w14:textId="77777777" w:rsidR="00A40C88" w:rsidRDefault="00A40C88">
      <w:pPr>
        <w:spacing w:after="0" w:line="259" w:lineRule="auto"/>
        <w:ind w:left="60" w:firstLine="0"/>
      </w:pPr>
    </w:p>
    <w:p w14:paraId="2EF08FCB" w14:textId="6D7CB163" w:rsidR="00A854F9" w:rsidRDefault="006644B5" w:rsidP="00840F76">
      <w:pPr>
        <w:spacing w:after="0" w:line="259" w:lineRule="auto"/>
        <w:ind w:left="60" w:firstLine="0"/>
      </w:pPr>
      <w:r>
        <w:rPr>
          <w:b/>
          <w:sz w:val="32"/>
        </w:rPr>
        <w:tab/>
        <w:t xml:space="preserve"> </w:t>
      </w:r>
    </w:p>
    <w:sectPr w:rsidR="00A854F9" w:rsidSect="00EF136C">
      <w:footerReference w:type="even" r:id="rId17"/>
      <w:footerReference w:type="default" r:id="rId18"/>
      <w:footerReference w:type="first" r:id="rId19"/>
      <w:type w:val="continuous"/>
      <w:pgSz w:w="11899" w:h="16841" w:code="9"/>
      <w:pgMar w:top="1440" w:right="1440" w:bottom="1440" w:left="1440" w:header="720" w:footer="964"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ward Pilott" w:date="2021-11-26T15:18:00Z" w:initials="HP">
    <w:p w14:paraId="6F12B874" w14:textId="77777777" w:rsidR="004602FE" w:rsidRDefault="004602FE" w:rsidP="00A2686F">
      <w:pPr>
        <w:pStyle w:val="CommentText"/>
      </w:pPr>
      <w:r>
        <w:rPr>
          <w:rStyle w:val="CommentReference"/>
        </w:rPr>
        <w:annotationRef/>
      </w:r>
      <w:r>
        <w:t>Awarding Organisations will give guidance on how sufficient breadth and depth is achieved</w:t>
      </w:r>
    </w:p>
  </w:comment>
  <w:comment w:id="2" w:author="Howard Pilott" w:date="2021-11-29T10:41:00Z" w:initials="HP">
    <w:p w14:paraId="24C727E7" w14:textId="77777777" w:rsidR="009F42E8" w:rsidRDefault="00387E57" w:rsidP="005F4808">
      <w:pPr>
        <w:pStyle w:val="CommentText"/>
      </w:pPr>
      <w:r>
        <w:rPr>
          <w:rStyle w:val="CommentReference"/>
        </w:rPr>
        <w:annotationRef/>
      </w:r>
      <w:r w:rsidR="009F42E8">
        <w:t>Plainly the term 'fully qualified teacher' is ambiguous. In the majority of circumstances a recognised L5 or above teaching qualification is acceptable but otherwise the provider should satisfy themselves that the person is suitably qualified, subject to external examination/QA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2B874" w15:done="0"/>
  <w15:commentEx w15:paraId="24C727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795E" w16cex:dateUtc="2021-11-26T15:18:00Z"/>
  <w16cex:commentExtensible w16cex:durableId="254F2CC6" w16cex:dateUtc="2021-11-29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2B874" w16cid:durableId="254B795E"/>
  <w16cid:commentId w16cid:paraId="24C727E7" w16cid:durableId="254F2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E5C56" w14:textId="77777777" w:rsidR="006644B5" w:rsidRDefault="006644B5">
      <w:pPr>
        <w:spacing w:after="0" w:line="240" w:lineRule="auto"/>
      </w:pPr>
      <w:r>
        <w:separator/>
      </w:r>
    </w:p>
  </w:endnote>
  <w:endnote w:type="continuationSeparator" w:id="0">
    <w:p w14:paraId="2BE3B510" w14:textId="77777777" w:rsidR="006644B5" w:rsidRDefault="0066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350D" w14:textId="77777777" w:rsidR="00A854F9" w:rsidRDefault="006644B5">
    <w:pPr>
      <w:tabs>
        <w:tab w:val="right" w:pos="9802"/>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116</w:t>
      </w:r>
    </w:fldSimple>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422284"/>
      <w:docPartObj>
        <w:docPartGallery w:val="Page Numbers (Bottom of Page)"/>
        <w:docPartUnique/>
      </w:docPartObj>
    </w:sdtPr>
    <w:sdtEndPr>
      <w:rPr>
        <w:noProof/>
      </w:rPr>
    </w:sdtEndPr>
    <w:sdtContent>
      <w:p w14:paraId="7125E767" w14:textId="558E768C" w:rsidR="00C4420E" w:rsidRDefault="00C4420E">
        <w:pPr>
          <w:pStyle w:val="Footer"/>
          <w:jc w:val="right"/>
        </w:pPr>
        <w:r>
          <w:fldChar w:fldCharType="begin"/>
        </w:r>
        <w:r>
          <w:instrText xml:space="preserve"> PAGE   \* MERGEFORMAT </w:instrText>
        </w:r>
        <w:r>
          <w:fldChar w:fldCharType="separate"/>
        </w:r>
        <w:r w:rsidR="00C960AB">
          <w:rPr>
            <w:noProof/>
          </w:rPr>
          <w:t>1</w:t>
        </w:r>
        <w:r>
          <w:rPr>
            <w:noProof/>
          </w:rPr>
          <w:fldChar w:fldCharType="end"/>
        </w:r>
      </w:p>
    </w:sdtContent>
  </w:sdt>
  <w:p w14:paraId="08D56CC1" w14:textId="67164A12" w:rsidR="00A854F9" w:rsidRDefault="00FE7A9A">
    <w:pPr>
      <w:tabs>
        <w:tab w:val="right" w:pos="9802"/>
      </w:tabs>
      <w:spacing w:after="0" w:line="259" w:lineRule="auto"/>
      <w:ind w:left="0" w:firstLine="0"/>
    </w:pPr>
    <w:r>
      <w:t>Professional Diploma in Teaching [FES]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2C01" w14:textId="77777777" w:rsidR="00A854F9" w:rsidRDefault="006644B5">
    <w:pPr>
      <w:tabs>
        <w:tab w:val="right" w:pos="9802"/>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116</w:t>
      </w:r>
    </w:fldSimple>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05BB" w14:textId="77777777" w:rsidR="00A854F9" w:rsidRDefault="00A854F9">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622709"/>
      <w:docPartObj>
        <w:docPartGallery w:val="Page Numbers (Bottom of Page)"/>
        <w:docPartUnique/>
      </w:docPartObj>
    </w:sdtPr>
    <w:sdtEndPr>
      <w:rPr>
        <w:noProof/>
      </w:rPr>
    </w:sdtEndPr>
    <w:sdtContent>
      <w:p w14:paraId="756DCD4F" w14:textId="7A1AE696" w:rsidR="0061466D" w:rsidRDefault="0061466D">
        <w:pPr>
          <w:pStyle w:val="Footer"/>
          <w:jc w:val="right"/>
        </w:pPr>
        <w:r>
          <w:fldChar w:fldCharType="begin"/>
        </w:r>
        <w:r>
          <w:instrText xml:space="preserve"> PAGE   \* MERGEFORMAT </w:instrText>
        </w:r>
        <w:r>
          <w:fldChar w:fldCharType="separate"/>
        </w:r>
        <w:r w:rsidR="00C960AB">
          <w:rPr>
            <w:noProof/>
          </w:rPr>
          <w:t>14</w:t>
        </w:r>
        <w:r>
          <w:rPr>
            <w:noProof/>
          </w:rPr>
          <w:fldChar w:fldCharType="end"/>
        </w:r>
      </w:p>
    </w:sdtContent>
  </w:sdt>
  <w:p w14:paraId="2DBF888F" w14:textId="77777777" w:rsidR="00235554" w:rsidRDefault="00235554" w:rsidP="00235554">
    <w:pPr>
      <w:tabs>
        <w:tab w:val="right" w:pos="9802"/>
      </w:tabs>
      <w:spacing w:after="0" w:line="259" w:lineRule="auto"/>
      <w:ind w:left="0" w:firstLine="0"/>
    </w:pPr>
    <w:r>
      <w:t>Professional Diploma in Teaching [FES]</w:t>
    </w:r>
  </w:p>
  <w:p w14:paraId="133E8EC5" w14:textId="77777777" w:rsidR="00A854F9" w:rsidRDefault="00A854F9">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8DA4" w14:textId="77777777" w:rsidR="00A854F9" w:rsidRDefault="00A854F9">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DDA3F" w14:textId="77777777" w:rsidR="006644B5" w:rsidRDefault="006644B5">
      <w:pPr>
        <w:spacing w:after="0" w:line="259" w:lineRule="auto"/>
        <w:ind w:left="0" w:firstLine="0"/>
      </w:pPr>
      <w:r>
        <w:separator/>
      </w:r>
    </w:p>
  </w:footnote>
  <w:footnote w:type="continuationSeparator" w:id="0">
    <w:p w14:paraId="07DE79C5" w14:textId="77777777" w:rsidR="006644B5" w:rsidRDefault="006644B5">
      <w:pPr>
        <w:spacing w:after="0" w:line="259" w:lineRule="auto"/>
        <w:ind w:left="0" w:firstLine="0"/>
      </w:pPr>
      <w:r>
        <w:continuationSeparator/>
      </w:r>
    </w:p>
  </w:footnote>
  <w:footnote w:id="1">
    <w:p w14:paraId="0173BE2A" w14:textId="651F8380" w:rsidR="000F1538" w:rsidRPr="000F1538" w:rsidRDefault="000F1538">
      <w:pPr>
        <w:pStyle w:val="FootnoteText"/>
        <w:rPr>
          <w:lang w:val="en-US"/>
        </w:rPr>
      </w:pPr>
      <w:r>
        <w:rPr>
          <w:rStyle w:val="FootnoteReference"/>
        </w:rPr>
        <w:footnoteRef/>
      </w:r>
      <w:r>
        <w:t xml:space="preserve"> </w:t>
      </w:r>
      <w:r>
        <w:rPr>
          <w:lang w:val="en-US"/>
        </w:rPr>
        <w:t xml:space="preserve">See </w:t>
      </w:r>
      <w:r w:rsidRPr="000F1538">
        <w:rPr>
          <w:lang w:val="en-US"/>
        </w:rPr>
        <w:t>https://www.gov.uk/government/publications/higher-technical-education-reforms/higher-technical-education-reforms</w:t>
      </w:r>
    </w:p>
  </w:footnote>
  <w:footnote w:id="2">
    <w:p w14:paraId="7BC9BCA9" w14:textId="27383009" w:rsidR="00741659" w:rsidRPr="00741659" w:rsidRDefault="00741659">
      <w:pPr>
        <w:pStyle w:val="FootnoteText"/>
        <w:rPr>
          <w:lang w:val="en-US"/>
        </w:rPr>
      </w:pPr>
      <w:r>
        <w:rPr>
          <w:rStyle w:val="FootnoteReference"/>
        </w:rPr>
        <w:footnoteRef/>
      </w:r>
      <w:r>
        <w:t xml:space="preserve"> </w:t>
      </w:r>
      <w:r w:rsidRPr="00741659">
        <w:t>https://www.instituteforapprenticeships.org/higher-technical-qualifications/approvals-process-and-timelines/</w:t>
      </w:r>
    </w:p>
  </w:footnote>
  <w:footnote w:id="3">
    <w:p w14:paraId="6745C975" w14:textId="11D9939A" w:rsidR="0040071C" w:rsidRPr="0040071C" w:rsidRDefault="0040071C">
      <w:pPr>
        <w:pStyle w:val="FootnoteText"/>
        <w:rPr>
          <w:lang w:val="en-US"/>
        </w:rPr>
      </w:pPr>
      <w:r>
        <w:rPr>
          <w:rStyle w:val="FootnoteReference"/>
        </w:rPr>
        <w:footnoteRef/>
      </w:r>
      <w:r>
        <w:t xml:space="preserve"> </w:t>
      </w:r>
      <w:r w:rsidR="0050207F">
        <w:rPr>
          <w:lang w:val="en-US"/>
        </w:rPr>
        <w:t xml:space="preserve">See </w:t>
      </w:r>
      <w:r w:rsidR="0050207F" w:rsidRPr="0050207F">
        <w:rPr>
          <w:lang w:val="en-US"/>
        </w:rPr>
        <w:t>https://www.instituteforapprenticeships.org/apprenticeship-standards/learning-and-skills-teacher-v1-0</w:t>
      </w:r>
    </w:p>
  </w:footnote>
  <w:footnote w:id="4">
    <w:p w14:paraId="56747630" w14:textId="3922089B" w:rsidR="00295373" w:rsidRPr="00295373" w:rsidRDefault="00295373">
      <w:pPr>
        <w:pStyle w:val="FootnoteText"/>
        <w:rPr>
          <w:lang w:val="en-US"/>
        </w:rPr>
      </w:pPr>
      <w:r>
        <w:rPr>
          <w:rStyle w:val="FootnoteReference"/>
        </w:rPr>
        <w:footnoteRef/>
      </w:r>
      <w:r>
        <w:t xml:space="preserve"> </w:t>
      </w:r>
      <w:r w:rsidR="00F454AA" w:rsidRPr="00F454AA">
        <w:t>https://assets.publishing.service.gov.uk/government/uploads/system/uploads/attachment_data/file/957856/Skills_for_jobs_lifelong_learning_for_opportunity_and_growth__web_version_.pdf</w:t>
      </w:r>
    </w:p>
  </w:footnote>
  <w:footnote w:id="5">
    <w:p w14:paraId="4C84DEAF" w14:textId="58AAD19C" w:rsidR="00745778" w:rsidRPr="00745778" w:rsidRDefault="00745778">
      <w:pPr>
        <w:pStyle w:val="FootnoteText"/>
        <w:rPr>
          <w:lang w:val="en-US"/>
        </w:rPr>
      </w:pPr>
      <w:r>
        <w:rPr>
          <w:rStyle w:val="FootnoteReference"/>
        </w:rPr>
        <w:footnoteRef/>
      </w:r>
      <w:r>
        <w:t xml:space="preserve"> </w:t>
      </w:r>
      <w:r>
        <w:rPr>
          <w:lang w:val="en-US"/>
        </w:rPr>
        <w:t>ibid</w:t>
      </w:r>
    </w:p>
  </w:footnote>
  <w:footnote w:id="6">
    <w:p w14:paraId="0230D42E" w14:textId="5C7AF100" w:rsidR="00745778" w:rsidRPr="00745778" w:rsidRDefault="00745778">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D18"/>
    <w:multiLevelType w:val="hybridMultilevel"/>
    <w:tmpl w:val="18E0B248"/>
    <w:lvl w:ilvl="0" w:tplc="EB409FA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C8C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0E27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EED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6E8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CC9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FA5F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4A6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0E80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97402"/>
    <w:multiLevelType w:val="hybridMultilevel"/>
    <w:tmpl w:val="739A656C"/>
    <w:lvl w:ilvl="0" w:tplc="3FA05A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6A6B4">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58C79C">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5C8806">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206AA">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CC1936">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65016">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E402A">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5EEDAA">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C1E53"/>
    <w:multiLevelType w:val="hybridMultilevel"/>
    <w:tmpl w:val="27D8FEC4"/>
    <w:lvl w:ilvl="0" w:tplc="5C9A1162">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08DE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AEC3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52C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05F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58B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ADD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D4EA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C88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E65AF8"/>
    <w:multiLevelType w:val="hybridMultilevel"/>
    <w:tmpl w:val="48D8FBEA"/>
    <w:lvl w:ilvl="0" w:tplc="C6BE0ABE">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00CDE">
      <w:start w:val="1"/>
      <w:numFmt w:val="bullet"/>
      <w:lvlText w:val=""/>
      <w:lvlJc w:val="left"/>
      <w:pPr>
        <w:ind w:left="1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68ABDA">
      <w:start w:val="1"/>
      <w:numFmt w:val="bullet"/>
      <w:lvlText w:val="▪"/>
      <w:lvlJc w:val="left"/>
      <w:pPr>
        <w:ind w:left="2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4DFD6">
      <w:start w:val="1"/>
      <w:numFmt w:val="bullet"/>
      <w:lvlText w:val="•"/>
      <w:lvlJc w:val="left"/>
      <w:pPr>
        <w:ind w:left="2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AC5C14">
      <w:start w:val="1"/>
      <w:numFmt w:val="bullet"/>
      <w:lvlText w:val="o"/>
      <w:lvlJc w:val="left"/>
      <w:pPr>
        <w:ind w:left="3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12D874">
      <w:start w:val="1"/>
      <w:numFmt w:val="bullet"/>
      <w:lvlText w:val="▪"/>
      <w:lvlJc w:val="left"/>
      <w:pPr>
        <w:ind w:left="4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98BD7E">
      <w:start w:val="1"/>
      <w:numFmt w:val="bullet"/>
      <w:lvlText w:val="•"/>
      <w:lvlJc w:val="left"/>
      <w:pPr>
        <w:ind w:left="4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102010">
      <w:start w:val="1"/>
      <w:numFmt w:val="bullet"/>
      <w:lvlText w:val="o"/>
      <w:lvlJc w:val="left"/>
      <w:pPr>
        <w:ind w:left="5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34DDE2">
      <w:start w:val="1"/>
      <w:numFmt w:val="bullet"/>
      <w:lvlText w:val="▪"/>
      <w:lvlJc w:val="left"/>
      <w:pPr>
        <w:ind w:left="6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3D1CC6"/>
    <w:multiLevelType w:val="hybridMultilevel"/>
    <w:tmpl w:val="0E58A370"/>
    <w:lvl w:ilvl="0" w:tplc="9A16BC4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6659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AC39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26A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040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64FE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8876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A1F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B062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5D33EF"/>
    <w:multiLevelType w:val="hybridMultilevel"/>
    <w:tmpl w:val="14AC6084"/>
    <w:lvl w:ilvl="0" w:tplc="FFEE0696">
      <w:start w:val="1"/>
      <w:numFmt w:val="bullet"/>
      <w:lvlText w:val="•"/>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5698D2">
      <w:start w:val="1"/>
      <w:numFmt w:val="bullet"/>
      <w:lvlText w:val="o"/>
      <w:lvlJc w:val="left"/>
      <w:pPr>
        <w:ind w:left="1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FA760E">
      <w:start w:val="1"/>
      <w:numFmt w:val="bullet"/>
      <w:lvlText w:val="▪"/>
      <w:lvlJc w:val="left"/>
      <w:pPr>
        <w:ind w:left="2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10A42E">
      <w:start w:val="1"/>
      <w:numFmt w:val="bullet"/>
      <w:lvlText w:val="•"/>
      <w:lvlJc w:val="left"/>
      <w:pPr>
        <w:ind w:left="2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7AB83C">
      <w:start w:val="1"/>
      <w:numFmt w:val="bullet"/>
      <w:lvlText w:val="o"/>
      <w:lvlJc w:val="left"/>
      <w:pPr>
        <w:ind w:left="3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0C76FA">
      <w:start w:val="1"/>
      <w:numFmt w:val="bullet"/>
      <w:lvlText w:val="▪"/>
      <w:lvlJc w:val="left"/>
      <w:pPr>
        <w:ind w:left="4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66FD2E">
      <w:start w:val="1"/>
      <w:numFmt w:val="bullet"/>
      <w:lvlText w:val="•"/>
      <w:lvlJc w:val="left"/>
      <w:pPr>
        <w:ind w:left="4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0502E">
      <w:start w:val="1"/>
      <w:numFmt w:val="bullet"/>
      <w:lvlText w:val="o"/>
      <w:lvlJc w:val="left"/>
      <w:pPr>
        <w:ind w:left="56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7A14B0">
      <w:start w:val="1"/>
      <w:numFmt w:val="bullet"/>
      <w:lvlText w:val="▪"/>
      <w:lvlJc w:val="left"/>
      <w:pPr>
        <w:ind w:left="6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76146F"/>
    <w:multiLevelType w:val="hybridMultilevel"/>
    <w:tmpl w:val="10FE49EA"/>
    <w:lvl w:ilvl="0" w:tplc="F9480B46">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464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78B9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540F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94C8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2A51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76BE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20A3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867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F17BC3"/>
    <w:multiLevelType w:val="hybridMultilevel"/>
    <w:tmpl w:val="940E83A4"/>
    <w:lvl w:ilvl="0" w:tplc="98E4C8A0">
      <w:start w:val="1"/>
      <w:numFmt w:val="bullet"/>
      <w:lvlText w:val="•"/>
      <w:lvlJc w:val="left"/>
      <w:pPr>
        <w:ind w:left="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A043E8">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2FE24">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B21B0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C7452">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D8ABF8">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454E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B6AC24">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A6336">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623CAB"/>
    <w:multiLevelType w:val="hybridMultilevel"/>
    <w:tmpl w:val="676869B0"/>
    <w:lvl w:ilvl="0" w:tplc="1138D312">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CF4F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2C4D3E">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66CE6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010D2">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B24160">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8E54A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A2F4B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386630">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997297"/>
    <w:multiLevelType w:val="hybridMultilevel"/>
    <w:tmpl w:val="C9207F90"/>
    <w:lvl w:ilvl="0" w:tplc="34C255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066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06F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673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827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ACD0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B250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EE3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21A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590418"/>
    <w:multiLevelType w:val="hybridMultilevel"/>
    <w:tmpl w:val="6D92045A"/>
    <w:lvl w:ilvl="0" w:tplc="2FCE80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BC64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EC35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669F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6685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100E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5074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A97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903E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FA4C69"/>
    <w:multiLevelType w:val="hybridMultilevel"/>
    <w:tmpl w:val="36DCFF48"/>
    <w:lvl w:ilvl="0" w:tplc="26481DAA">
      <w:start w:val="1"/>
      <w:numFmt w:val="bullet"/>
      <w:lvlText w:val="•"/>
      <w:lvlJc w:val="left"/>
      <w:pPr>
        <w:ind w:left="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E0B7A">
      <w:start w:val="1"/>
      <w:numFmt w:val="bullet"/>
      <w:lvlText w:val="o"/>
      <w:lvlJc w:val="left"/>
      <w:pPr>
        <w:ind w:left="1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482BC6">
      <w:start w:val="1"/>
      <w:numFmt w:val="bullet"/>
      <w:lvlText w:val="▪"/>
      <w:lvlJc w:val="left"/>
      <w:pPr>
        <w:ind w:left="2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AA8858">
      <w:start w:val="1"/>
      <w:numFmt w:val="bullet"/>
      <w:lvlText w:val="•"/>
      <w:lvlJc w:val="left"/>
      <w:pPr>
        <w:ind w:left="3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72FC">
      <w:start w:val="1"/>
      <w:numFmt w:val="bullet"/>
      <w:lvlText w:val="o"/>
      <w:lvlJc w:val="left"/>
      <w:pPr>
        <w:ind w:left="3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A03A0">
      <w:start w:val="1"/>
      <w:numFmt w:val="bullet"/>
      <w:lvlText w:val="▪"/>
      <w:lvlJc w:val="left"/>
      <w:pPr>
        <w:ind w:left="4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EF0B2">
      <w:start w:val="1"/>
      <w:numFmt w:val="bullet"/>
      <w:lvlText w:val="•"/>
      <w:lvlJc w:val="left"/>
      <w:pPr>
        <w:ind w:left="5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846BDA">
      <w:start w:val="1"/>
      <w:numFmt w:val="bullet"/>
      <w:lvlText w:val="o"/>
      <w:lvlJc w:val="left"/>
      <w:pPr>
        <w:ind w:left="5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2F1BC">
      <w:start w:val="1"/>
      <w:numFmt w:val="bullet"/>
      <w:lvlText w:val="▪"/>
      <w:lvlJc w:val="left"/>
      <w:pPr>
        <w:ind w:left="6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09711B"/>
    <w:multiLevelType w:val="hybridMultilevel"/>
    <w:tmpl w:val="D22215C4"/>
    <w:lvl w:ilvl="0" w:tplc="673022F6">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093EE">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5A55D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FCD044">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2EB5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66887E">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0C410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4022F8">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F2BCD0">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6A77F1"/>
    <w:multiLevelType w:val="hybridMultilevel"/>
    <w:tmpl w:val="55226296"/>
    <w:lvl w:ilvl="0" w:tplc="82CE9880">
      <w:start w:val="1"/>
      <w:numFmt w:val="bullet"/>
      <w:lvlText w:val="•"/>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4544C">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C0FC20">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4DA68">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20962">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CCD04">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CD076">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A783E">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70EC6C">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6F3533"/>
    <w:multiLevelType w:val="hybridMultilevel"/>
    <w:tmpl w:val="6C265E2C"/>
    <w:lvl w:ilvl="0" w:tplc="445876D6">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829E2">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476A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F42D5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8D13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0610D6">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F80DB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D0B6C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B6DFD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9F145E"/>
    <w:multiLevelType w:val="hybridMultilevel"/>
    <w:tmpl w:val="1486DD90"/>
    <w:lvl w:ilvl="0" w:tplc="7EBA02F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40F7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2CC1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5ABF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EAE4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2889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86AA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D6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BE03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92E3B"/>
    <w:multiLevelType w:val="hybridMultilevel"/>
    <w:tmpl w:val="B8A051C0"/>
    <w:lvl w:ilvl="0" w:tplc="A85EBB34">
      <w:start w:val="1"/>
      <w:numFmt w:val="bullet"/>
      <w:lvlText w:val="•"/>
      <w:lvlJc w:val="left"/>
      <w:pPr>
        <w:ind w:left="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D681BE">
      <w:start w:val="1"/>
      <w:numFmt w:val="bullet"/>
      <w:lvlText w:val="o"/>
      <w:lvlJc w:val="left"/>
      <w:pPr>
        <w:ind w:left="1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D84994">
      <w:start w:val="1"/>
      <w:numFmt w:val="bullet"/>
      <w:lvlText w:val="▪"/>
      <w:lvlJc w:val="left"/>
      <w:pPr>
        <w:ind w:left="2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D25C0C">
      <w:start w:val="1"/>
      <w:numFmt w:val="bullet"/>
      <w:lvlText w:val="•"/>
      <w:lvlJc w:val="left"/>
      <w:pPr>
        <w:ind w:left="3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61690">
      <w:start w:val="1"/>
      <w:numFmt w:val="bullet"/>
      <w:lvlText w:val="o"/>
      <w:lvlJc w:val="left"/>
      <w:pPr>
        <w:ind w:left="3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0622CA">
      <w:start w:val="1"/>
      <w:numFmt w:val="bullet"/>
      <w:lvlText w:val="▪"/>
      <w:lvlJc w:val="left"/>
      <w:pPr>
        <w:ind w:left="4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10BF70">
      <w:start w:val="1"/>
      <w:numFmt w:val="bullet"/>
      <w:lvlText w:val="•"/>
      <w:lvlJc w:val="left"/>
      <w:pPr>
        <w:ind w:left="5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E88530">
      <w:start w:val="1"/>
      <w:numFmt w:val="bullet"/>
      <w:lvlText w:val="o"/>
      <w:lvlJc w:val="left"/>
      <w:pPr>
        <w:ind w:left="5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8AB50">
      <w:start w:val="1"/>
      <w:numFmt w:val="bullet"/>
      <w:lvlText w:val="▪"/>
      <w:lvlJc w:val="left"/>
      <w:pPr>
        <w:ind w:left="6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F93CC5"/>
    <w:multiLevelType w:val="hybridMultilevel"/>
    <w:tmpl w:val="49EA043E"/>
    <w:lvl w:ilvl="0" w:tplc="33803BEE">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63D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24FA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769B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67F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3E5D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A860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087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4D1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16973"/>
    <w:multiLevelType w:val="hybridMultilevel"/>
    <w:tmpl w:val="6714E0E4"/>
    <w:lvl w:ilvl="0" w:tplc="054C70D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23D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E42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036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EFB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1EDD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8A2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CC8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608D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E22BF2"/>
    <w:multiLevelType w:val="hybridMultilevel"/>
    <w:tmpl w:val="234097EE"/>
    <w:lvl w:ilvl="0" w:tplc="FDC2A6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5649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041F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206D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6AEC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D0A5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34D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C99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EAE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30450D"/>
    <w:multiLevelType w:val="hybridMultilevel"/>
    <w:tmpl w:val="6C4E73B2"/>
    <w:lvl w:ilvl="0" w:tplc="D61802D6">
      <w:start w:val="1"/>
      <w:numFmt w:val="bullet"/>
      <w:lvlText w:val="•"/>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0A26A">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8A34A8">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1EECD0">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4A598">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A697C">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0EDEF8">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F0A53C">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1669B8">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6E6C62"/>
    <w:multiLevelType w:val="hybridMultilevel"/>
    <w:tmpl w:val="BEB4A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F6BBE"/>
    <w:multiLevelType w:val="hybridMultilevel"/>
    <w:tmpl w:val="5E66CD20"/>
    <w:lvl w:ilvl="0" w:tplc="C3260ED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A93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8EA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6C9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C78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E209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9492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6F7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2B0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D1477E"/>
    <w:multiLevelType w:val="hybridMultilevel"/>
    <w:tmpl w:val="C0122DEE"/>
    <w:lvl w:ilvl="0" w:tplc="916EC32E">
      <w:start w:val="1"/>
      <w:numFmt w:val="bullet"/>
      <w:lvlText w:val="•"/>
      <w:lvlJc w:val="left"/>
      <w:pPr>
        <w:ind w:left="833"/>
      </w:pPr>
      <w:rPr>
        <w:rFonts w:ascii="Arial" w:eastAsia="Arial" w:hAnsi="Arial" w:cs="Arial"/>
        <w:b w:val="0"/>
        <w:i w:val="0"/>
        <w:strike w:val="0"/>
        <w:dstrike w:val="0"/>
        <w:color w:val="5C6F7C"/>
        <w:sz w:val="24"/>
        <w:szCs w:val="24"/>
        <w:u w:val="none" w:color="000000"/>
        <w:bdr w:val="none" w:sz="0" w:space="0" w:color="auto"/>
        <w:shd w:val="clear" w:color="auto" w:fill="auto"/>
        <w:vertAlign w:val="baseline"/>
      </w:rPr>
    </w:lvl>
    <w:lvl w:ilvl="1" w:tplc="4588E016">
      <w:start w:val="1"/>
      <w:numFmt w:val="bullet"/>
      <w:lvlText w:val="o"/>
      <w:lvlJc w:val="left"/>
      <w:pPr>
        <w:ind w:left="1553"/>
      </w:pPr>
      <w:rPr>
        <w:rFonts w:ascii="Segoe UI Symbol" w:eastAsia="Segoe UI Symbol" w:hAnsi="Segoe UI Symbol" w:cs="Segoe UI Symbol"/>
        <w:b w:val="0"/>
        <w:i w:val="0"/>
        <w:strike w:val="0"/>
        <w:dstrike w:val="0"/>
        <w:color w:val="5C6F7C"/>
        <w:sz w:val="24"/>
        <w:szCs w:val="24"/>
        <w:u w:val="none" w:color="000000"/>
        <w:bdr w:val="none" w:sz="0" w:space="0" w:color="auto"/>
        <w:shd w:val="clear" w:color="auto" w:fill="auto"/>
        <w:vertAlign w:val="baseline"/>
      </w:rPr>
    </w:lvl>
    <w:lvl w:ilvl="2" w:tplc="49689876">
      <w:start w:val="1"/>
      <w:numFmt w:val="bullet"/>
      <w:lvlText w:val="▪"/>
      <w:lvlJc w:val="left"/>
      <w:pPr>
        <w:ind w:left="2273"/>
      </w:pPr>
      <w:rPr>
        <w:rFonts w:ascii="Segoe UI Symbol" w:eastAsia="Segoe UI Symbol" w:hAnsi="Segoe UI Symbol" w:cs="Segoe UI Symbol"/>
        <w:b w:val="0"/>
        <w:i w:val="0"/>
        <w:strike w:val="0"/>
        <w:dstrike w:val="0"/>
        <w:color w:val="5C6F7C"/>
        <w:sz w:val="24"/>
        <w:szCs w:val="24"/>
        <w:u w:val="none" w:color="000000"/>
        <w:bdr w:val="none" w:sz="0" w:space="0" w:color="auto"/>
        <w:shd w:val="clear" w:color="auto" w:fill="auto"/>
        <w:vertAlign w:val="baseline"/>
      </w:rPr>
    </w:lvl>
    <w:lvl w:ilvl="3" w:tplc="6526B920">
      <w:start w:val="1"/>
      <w:numFmt w:val="bullet"/>
      <w:lvlText w:val="•"/>
      <w:lvlJc w:val="left"/>
      <w:pPr>
        <w:ind w:left="2993"/>
      </w:pPr>
      <w:rPr>
        <w:rFonts w:ascii="Arial" w:eastAsia="Arial" w:hAnsi="Arial" w:cs="Arial"/>
        <w:b w:val="0"/>
        <w:i w:val="0"/>
        <w:strike w:val="0"/>
        <w:dstrike w:val="0"/>
        <w:color w:val="5C6F7C"/>
        <w:sz w:val="24"/>
        <w:szCs w:val="24"/>
        <w:u w:val="none" w:color="000000"/>
        <w:bdr w:val="none" w:sz="0" w:space="0" w:color="auto"/>
        <w:shd w:val="clear" w:color="auto" w:fill="auto"/>
        <w:vertAlign w:val="baseline"/>
      </w:rPr>
    </w:lvl>
    <w:lvl w:ilvl="4" w:tplc="86B06EF4">
      <w:start w:val="1"/>
      <w:numFmt w:val="bullet"/>
      <w:lvlText w:val="o"/>
      <w:lvlJc w:val="left"/>
      <w:pPr>
        <w:ind w:left="3713"/>
      </w:pPr>
      <w:rPr>
        <w:rFonts w:ascii="Segoe UI Symbol" w:eastAsia="Segoe UI Symbol" w:hAnsi="Segoe UI Symbol" w:cs="Segoe UI Symbol"/>
        <w:b w:val="0"/>
        <w:i w:val="0"/>
        <w:strike w:val="0"/>
        <w:dstrike w:val="0"/>
        <w:color w:val="5C6F7C"/>
        <w:sz w:val="24"/>
        <w:szCs w:val="24"/>
        <w:u w:val="none" w:color="000000"/>
        <w:bdr w:val="none" w:sz="0" w:space="0" w:color="auto"/>
        <w:shd w:val="clear" w:color="auto" w:fill="auto"/>
        <w:vertAlign w:val="baseline"/>
      </w:rPr>
    </w:lvl>
    <w:lvl w:ilvl="5" w:tplc="E00E1C98">
      <w:start w:val="1"/>
      <w:numFmt w:val="bullet"/>
      <w:lvlText w:val="▪"/>
      <w:lvlJc w:val="left"/>
      <w:pPr>
        <w:ind w:left="4433"/>
      </w:pPr>
      <w:rPr>
        <w:rFonts w:ascii="Segoe UI Symbol" w:eastAsia="Segoe UI Symbol" w:hAnsi="Segoe UI Symbol" w:cs="Segoe UI Symbol"/>
        <w:b w:val="0"/>
        <w:i w:val="0"/>
        <w:strike w:val="0"/>
        <w:dstrike w:val="0"/>
        <w:color w:val="5C6F7C"/>
        <w:sz w:val="24"/>
        <w:szCs w:val="24"/>
        <w:u w:val="none" w:color="000000"/>
        <w:bdr w:val="none" w:sz="0" w:space="0" w:color="auto"/>
        <w:shd w:val="clear" w:color="auto" w:fill="auto"/>
        <w:vertAlign w:val="baseline"/>
      </w:rPr>
    </w:lvl>
    <w:lvl w:ilvl="6" w:tplc="64FECEB8">
      <w:start w:val="1"/>
      <w:numFmt w:val="bullet"/>
      <w:lvlText w:val="•"/>
      <w:lvlJc w:val="left"/>
      <w:pPr>
        <w:ind w:left="5153"/>
      </w:pPr>
      <w:rPr>
        <w:rFonts w:ascii="Arial" w:eastAsia="Arial" w:hAnsi="Arial" w:cs="Arial"/>
        <w:b w:val="0"/>
        <w:i w:val="0"/>
        <w:strike w:val="0"/>
        <w:dstrike w:val="0"/>
        <w:color w:val="5C6F7C"/>
        <w:sz w:val="24"/>
        <w:szCs w:val="24"/>
        <w:u w:val="none" w:color="000000"/>
        <w:bdr w:val="none" w:sz="0" w:space="0" w:color="auto"/>
        <w:shd w:val="clear" w:color="auto" w:fill="auto"/>
        <w:vertAlign w:val="baseline"/>
      </w:rPr>
    </w:lvl>
    <w:lvl w:ilvl="7" w:tplc="EE3279C6">
      <w:start w:val="1"/>
      <w:numFmt w:val="bullet"/>
      <w:lvlText w:val="o"/>
      <w:lvlJc w:val="left"/>
      <w:pPr>
        <w:ind w:left="5873"/>
      </w:pPr>
      <w:rPr>
        <w:rFonts w:ascii="Segoe UI Symbol" w:eastAsia="Segoe UI Symbol" w:hAnsi="Segoe UI Symbol" w:cs="Segoe UI Symbol"/>
        <w:b w:val="0"/>
        <w:i w:val="0"/>
        <w:strike w:val="0"/>
        <w:dstrike w:val="0"/>
        <w:color w:val="5C6F7C"/>
        <w:sz w:val="24"/>
        <w:szCs w:val="24"/>
        <w:u w:val="none" w:color="000000"/>
        <w:bdr w:val="none" w:sz="0" w:space="0" w:color="auto"/>
        <w:shd w:val="clear" w:color="auto" w:fill="auto"/>
        <w:vertAlign w:val="baseline"/>
      </w:rPr>
    </w:lvl>
    <w:lvl w:ilvl="8" w:tplc="1688D724">
      <w:start w:val="1"/>
      <w:numFmt w:val="bullet"/>
      <w:lvlText w:val="▪"/>
      <w:lvlJc w:val="left"/>
      <w:pPr>
        <w:ind w:left="6593"/>
      </w:pPr>
      <w:rPr>
        <w:rFonts w:ascii="Segoe UI Symbol" w:eastAsia="Segoe UI Symbol" w:hAnsi="Segoe UI Symbol" w:cs="Segoe UI Symbol"/>
        <w:b w:val="0"/>
        <w:i w:val="0"/>
        <w:strike w:val="0"/>
        <w:dstrike w:val="0"/>
        <w:color w:val="5C6F7C"/>
        <w:sz w:val="24"/>
        <w:szCs w:val="24"/>
        <w:u w:val="none" w:color="000000"/>
        <w:bdr w:val="none" w:sz="0" w:space="0" w:color="auto"/>
        <w:shd w:val="clear" w:color="auto" w:fill="auto"/>
        <w:vertAlign w:val="baseline"/>
      </w:rPr>
    </w:lvl>
  </w:abstractNum>
  <w:abstractNum w:abstractNumId="24" w15:restartNumberingAfterBreak="0">
    <w:nsid w:val="4BF84015"/>
    <w:multiLevelType w:val="hybridMultilevel"/>
    <w:tmpl w:val="61DA4632"/>
    <w:lvl w:ilvl="0" w:tplc="3AFA03E0">
      <w:start w:val="1"/>
      <w:numFmt w:val="bullet"/>
      <w:lvlText w:val="•"/>
      <w:lvlJc w:val="left"/>
      <w:pPr>
        <w:ind w:left="704"/>
      </w:pPr>
      <w:rPr>
        <w:rFonts w:ascii="Arial" w:eastAsia="Arial" w:hAnsi="Arial" w:cs="Arial"/>
        <w:b w:val="0"/>
        <w:i w:val="0"/>
        <w:strike w:val="0"/>
        <w:dstrike w:val="0"/>
        <w:color w:val="5C6F7C"/>
        <w:sz w:val="22"/>
        <w:szCs w:val="22"/>
        <w:u w:val="none" w:color="000000"/>
        <w:bdr w:val="none" w:sz="0" w:space="0" w:color="auto"/>
        <w:shd w:val="clear" w:color="auto" w:fill="auto"/>
        <w:vertAlign w:val="baseline"/>
      </w:rPr>
    </w:lvl>
    <w:lvl w:ilvl="1" w:tplc="20B8A18E">
      <w:start w:val="1"/>
      <w:numFmt w:val="bullet"/>
      <w:lvlText w:val="o"/>
      <w:lvlJc w:val="left"/>
      <w:pPr>
        <w:ind w:left="1392"/>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2" w:tplc="6DC458A4">
      <w:start w:val="1"/>
      <w:numFmt w:val="bullet"/>
      <w:lvlText w:val="▪"/>
      <w:lvlJc w:val="left"/>
      <w:pPr>
        <w:ind w:left="2112"/>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3" w:tplc="0E5AF664">
      <w:start w:val="1"/>
      <w:numFmt w:val="bullet"/>
      <w:lvlText w:val="•"/>
      <w:lvlJc w:val="left"/>
      <w:pPr>
        <w:ind w:left="2832"/>
      </w:pPr>
      <w:rPr>
        <w:rFonts w:ascii="Arial" w:eastAsia="Arial" w:hAnsi="Arial" w:cs="Arial"/>
        <w:b w:val="0"/>
        <w:i w:val="0"/>
        <w:strike w:val="0"/>
        <w:dstrike w:val="0"/>
        <w:color w:val="5C6F7C"/>
        <w:sz w:val="22"/>
        <w:szCs w:val="22"/>
        <w:u w:val="none" w:color="000000"/>
        <w:bdr w:val="none" w:sz="0" w:space="0" w:color="auto"/>
        <w:shd w:val="clear" w:color="auto" w:fill="auto"/>
        <w:vertAlign w:val="baseline"/>
      </w:rPr>
    </w:lvl>
    <w:lvl w:ilvl="4" w:tplc="107A70D8">
      <w:start w:val="1"/>
      <w:numFmt w:val="bullet"/>
      <w:lvlText w:val="o"/>
      <w:lvlJc w:val="left"/>
      <w:pPr>
        <w:ind w:left="3552"/>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5" w:tplc="6CE2ADD6">
      <w:start w:val="1"/>
      <w:numFmt w:val="bullet"/>
      <w:lvlText w:val="▪"/>
      <w:lvlJc w:val="left"/>
      <w:pPr>
        <w:ind w:left="4272"/>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6" w:tplc="80666B46">
      <w:start w:val="1"/>
      <w:numFmt w:val="bullet"/>
      <w:lvlText w:val="•"/>
      <w:lvlJc w:val="left"/>
      <w:pPr>
        <w:ind w:left="4992"/>
      </w:pPr>
      <w:rPr>
        <w:rFonts w:ascii="Arial" w:eastAsia="Arial" w:hAnsi="Arial" w:cs="Arial"/>
        <w:b w:val="0"/>
        <w:i w:val="0"/>
        <w:strike w:val="0"/>
        <w:dstrike w:val="0"/>
        <w:color w:val="5C6F7C"/>
        <w:sz w:val="22"/>
        <w:szCs w:val="22"/>
        <w:u w:val="none" w:color="000000"/>
        <w:bdr w:val="none" w:sz="0" w:space="0" w:color="auto"/>
        <w:shd w:val="clear" w:color="auto" w:fill="auto"/>
        <w:vertAlign w:val="baseline"/>
      </w:rPr>
    </w:lvl>
    <w:lvl w:ilvl="7" w:tplc="EB48C44C">
      <w:start w:val="1"/>
      <w:numFmt w:val="bullet"/>
      <w:lvlText w:val="o"/>
      <w:lvlJc w:val="left"/>
      <w:pPr>
        <w:ind w:left="5712"/>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8" w:tplc="39BC34FC">
      <w:start w:val="1"/>
      <w:numFmt w:val="bullet"/>
      <w:lvlText w:val="▪"/>
      <w:lvlJc w:val="left"/>
      <w:pPr>
        <w:ind w:left="6432"/>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abstractNum>
  <w:abstractNum w:abstractNumId="25" w15:restartNumberingAfterBreak="0">
    <w:nsid w:val="4CEB1A3F"/>
    <w:multiLevelType w:val="hybridMultilevel"/>
    <w:tmpl w:val="3000DF8A"/>
    <w:lvl w:ilvl="0" w:tplc="4F2E07E2">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80052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60E5D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0C456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ECC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4A99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4834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419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442C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8A6CF9"/>
    <w:multiLevelType w:val="hybridMultilevel"/>
    <w:tmpl w:val="DAC2F040"/>
    <w:lvl w:ilvl="0" w:tplc="50CC3B84">
      <w:start w:val="1"/>
      <w:numFmt w:val="bullet"/>
      <w:lvlText w:val="•"/>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8C7D9A">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BAB4CE">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3C6E30">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455B6">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38FB2E">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426F0">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0B4E0">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A2A554">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6C2C5F"/>
    <w:multiLevelType w:val="hybridMultilevel"/>
    <w:tmpl w:val="0A98EC74"/>
    <w:lvl w:ilvl="0" w:tplc="A15CDC82">
      <w:start w:val="1"/>
      <w:numFmt w:val="bullet"/>
      <w:lvlText w:val="•"/>
      <w:lvlJc w:val="left"/>
      <w:pPr>
        <w:ind w:left="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C632A">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3EF07A">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86DA56">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6C122">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845CA6">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40602">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06C38">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87FB2">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4A764E"/>
    <w:multiLevelType w:val="hybridMultilevel"/>
    <w:tmpl w:val="C47EC1E0"/>
    <w:lvl w:ilvl="0" w:tplc="57409634">
      <w:start w:val="1"/>
      <w:numFmt w:val="bullet"/>
      <w:lvlText w:val="•"/>
      <w:lvlJc w:val="left"/>
      <w:pPr>
        <w:ind w:left="5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DB810D0">
      <w:start w:val="1"/>
      <w:numFmt w:val="bullet"/>
      <w:lvlText w:val="o"/>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9E43036">
      <w:start w:val="1"/>
      <w:numFmt w:val="bullet"/>
      <w:lvlText w:val="▪"/>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7A8A7E8">
      <w:start w:val="1"/>
      <w:numFmt w:val="bullet"/>
      <w:lvlText w:val="•"/>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158A6CA">
      <w:start w:val="1"/>
      <w:numFmt w:val="bullet"/>
      <w:lvlText w:val="o"/>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20F0E8C6">
      <w:start w:val="1"/>
      <w:numFmt w:val="bullet"/>
      <w:lvlText w:val="▪"/>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97EF422">
      <w:start w:val="1"/>
      <w:numFmt w:val="bullet"/>
      <w:lvlText w:val="•"/>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51302EF2">
      <w:start w:val="1"/>
      <w:numFmt w:val="bullet"/>
      <w:lvlText w:val="o"/>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5EA9D56">
      <w:start w:val="1"/>
      <w:numFmt w:val="bullet"/>
      <w:lvlText w:val="▪"/>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B13B76"/>
    <w:multiLevelType w:val="hybridMultilevel"/>
    <w:tmpl w:val="CCFC6554"/>
    <w:lvl w:ilvl="0" w:tplc="C15A45C6">
      <w:start w:val="1"/>
      <w:numFmt w:val="bullet"/>
      <w:lvlText w:val="•"/>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7C5986">
      <w:start w:val="1"/>
      <w:numFmt w:val="bullet"/>
      <w:lvlText w:val="o"/>
      <w:lvlJc w:val="left"/>
      <w:pPr>
        <w:ind w:left="1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9CCE48">
      <w:start w:val="1"/>
      <w:numFmt w:val="bullet"/>
      <w:lvlText w:val="▪"/>
      <w:lvlJc w:val="left"/>
      <w:pPr>
        <w:ind w:left="2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120B0E">
      <w:start w:val="1"/>
      <w:numFmt w:val="bullet"/>
      <w:lvlText w:val="•"/>
      <w:lvlJc w:val="left"/>
      <w:pPr>
        <w:ind w:left="3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CED16">
      <w:start w:val="1"/>
      <w:numFmt w:val="bullet"/>
      <w:lvlText w:val="o"/>
      <w:lvlJc w:val="left"/>
      <w:pPr>
        <w:ind w:left="3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AEA52">
      <w:start w:val="1"/>
      <w:numFmt w:val="bullet"/>
      <w:lvlText w:val="▪"/>
      <w:lvlJc w:val="left"/>
      <w:pPr>
        <w:ind w:left="4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CC57E">
      <w:start w:val="1"/>
      <w:numFmt w:val="bullet"/>
      <w:lvlText w:val="•"/>
      <w:lvlJc w:val="left"/>
      <w:pPr>
        <w:ind w:left="5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9828D0">
      <w:start w:val="1"/>
      <w:numFmt w:val="bullet"/>
      <w:lvlText w:val="o"/>
      <w:lvlJc w:val="left"/>
      <w:pPr>
        <w:ind w:left="5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CE8A9E">
      <w:start w:val="1"/>
      <w:numFmt w:val="bullet"/>
      <w:lvlText w:val="▪"/>
      <w:lvlJc w:val="left"/>
      <w:pPr>
        <w:ind w:left="6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995EA0"/>
    <w:multiLevelType w:val="hybridMultilevel"/>
    <w:tmpl w:val="EFB8ECCE"/>
    <w:lvl w:ilvl="0" w:tplc="5D72599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BCB29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18DCC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7206B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C666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61CB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E6DD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A54C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46F3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1F2E32"/>
    <w:multiLevelType w:val="hybridMultilevel"/>
    <w:tmpl w:val="DB54BE0A"/>
    <w:lvl w:ilvl="0" w:tplc="F670C2B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6E668">
      <w:start w:val="1"/>
      <w:numFmt w:val="bullet"/>
      <w:lvlText w:val=""/>
      <w:lvlJc w:val="left"/>
      <w:pPr>
        <w:ind w:left="1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AC68FA">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7410">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3098B8">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E2926A">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44356">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098F2">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A04536">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D0787B"/>
    <w:multiLevelType w:val="hybridMultilevel"/>
    <w:tmpl w:val="C614A82C"/>
    <w:lvl w:ilvl="0" w:tplc="1DE2DAD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5895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2A6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203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668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56FC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44D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94FB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A2D5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7A139E"/>
    <w:multiLevelType w:val="hybridMultilevel"/>
    <w:tmpl w:val="827AE0AC"/>
    <w:lvl w:ilvl="0" w:tplc="AB30047C">
      <w:start w:val="1"/>
      <w:numFmt w:val="bullet"/>
      <w:lvlText w:val="•"/>
      <w:lvlJc w:val="left"/>
      <w:pPr>
        <w:ind w:left="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40846">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72D6A6">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441862">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ECE32">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D2B916">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3E14CE">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26066">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A091A">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C27099"/>
    <w:multiLevelType w:val="hybridMultilevel"/>
    <w:tmpl w:val="E18C68E4"/>
    <w:lvl w:ilvl="0" w:tplc="8FF640B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0E9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7CE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2C8C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C55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4C82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3818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8B8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D674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A775BD"/>
    <w:multiLevelType w:val="hybridMultilevel"/>
    <w:tmpl w:val="6CA8C36A"/>
    <w:lvl w:ilvl="0" w:tplc="3490D7CA">
      <w:start w:val="1"/>
      <w:numFmt w:val="bullet"/>
      <w:lvlText w:val="•"/>
      <w:lvlJc w:val="left"/>
      <w:pPr>
        <w:ind w:left="780"/>
      </w:pPr>
      <w:rPr>
        <w:rFonts w:ascii="Arial" w:eastAsia="Arial" w:hAnsi="Arial" w:cs="Arial"/>
        <w:b w:val="0"/>
        <w:i w:val="0"/>
        <w:strike w:val="0"/>
        <w:dstrike w:val="0"/>
        <w:color w:val="5C6F7C"/>
        <w:sz w:val="22"/>
        <w:szCs w:val="22"/>
        <w:u w:val="none" w:color="000000"/>
        <w:bdr w:val="none" w:sz="0" w:space="0" w:color="auto"/>
        <w:shd w:val="clear" w:color="auto" w:fill="auto"/>
        <w:vertAlign w:val="baseline"/>
      </w:rPr>
    </w:lvl>
    <w:lvl w:ilvl="1" w:tplc="16C85B36">
      <w:start w:val="1"/>
      <w:numFmt w:val="bullet"/>
      <w:lvlText w:val="o"/>
      <w:lvlJc w:val="left"/>
      <w:pPr>
        <w:ind w:left="1440"/>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2" w:tplc="8E68C000">
      <w:start w:val="1"/>
      <w:numFmt w:val="bullet"/>
      <w:lvlText w:val="▪"/>
      <w:lvlJc w:val="left"/>
      <w:pPr>
        <w:ind w:left="2160"/>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3" w:tplc="59184F94">
      <w:start w:val="1"/>
      <w:numFmt w:val="bullet"/>
      <w:lvlText w:val="•"/>
      <w:lvlJc w:val="left"/>
      <w:pPr>
        <w:ind w:left="2880"/>
      </w:pPr>
      <w:rPr>
        <w:rFonts w:ascii="Arial" w:eastAsia="Arial" w:hAnsi="Arial" w:cs="Arial"/>
        <w:b w:val="0"/>
        <w:i w:val="0"/>
        <w:strike w:val="0"/>
        <w:dstrike w:val="0"/>
        <w:color w:val="5C6F7C"/>
        <w:sz w:val="22"/>
        <w:szCs w:val="22"/>
        <w:u w:val="none" w:color="000000"/>
        <w:bdr w:val="none" w:sz="0" w:space="0" w:color="auto"/>
        <w:shd w:val="clear" w:color="auto" w:fill="auto"/>
        <w:vertAlign w:val="baseline"/>
      </w:rPr>
    </w:lvl>
    <w:lvl w:ilvl="4" w:tplc="36D8601E">
      <w:start w:val="1"/>
      <w:numFmt w:val="bullet"/>
      <w:lvlText w:val="o"/>
      <w:lvlJc w:val="left"/>
      <w:pPr>
        <w:ind w:left="3600"/>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5" w:tplc="CBCC003A">
      <w:start w:val="1"/>
      <w:numFmt w:val="bullet"/>
      <w:lvlText w:val="▪"/>
      <w:lvlJc w:val="left"/>
      <w:pPr>
        <w:ind w:left="4320"/>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6" w:tplc="F17A6884">
      <w:start w:val="1"/>
      <w:numFmt w:val="bullet"/>
      <w:lvlText w:val="•"/>
      <w:lvlJc w:val="left"/>
      <w:pPr>
        <w:ind w:left="5040"/>
      </w:pPr>
      <w:rPr>
        <w:rFonts w:ascii="Arial" w:eastAsia="Arial" w:hAnsi="Arial" w:cs="Arial"/>
        <w:b w:val="0"/>
        <w:i w:val="0"/>
        <w:strike w:val="0"/>
        <w:dstrike w:val="0"/>
        <w:color w:val="5C6F7C"/>
        <w:sz w:val="22"/>
        <w:szCs w:val="22"/>
        <w:u w:val="none" w:color="000000"/>
        <w:bdr w:val="none" w:sz="0" w:space="0" w:color="auto"/>
        <w:shd w:val="clear" w:color="auto" w:fill="auto"/>
        <w:vertAlign w:val="baseline"/>
      </w:rPr>
    </w:lvl>
    <w:lvl w:ilvl="7" w:tplc="170EB4B2">
      <w:start w:val="1"/>
      <w:numFmt w:val="bullet"/>
      <w:lvlText w:val="o"/>
      <w:lvlJc w:val="left"/>
      <w:pPr>
        <w:ind w:left="5760"/>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lvl w:ilvl="8" w:tplc="9404CFE0">
      <w:start w:val="1"/>
      <w:numFmt w:val="bullet"/>
      <w:lvlText w:val="▪"/>
      <w:lvlJc w:val="left"/>
      <w:pPr>
        <w:ind w:left="6480"/>
      </w:pPr>
      <w:rPr>
        <w:rFonts w:ascii="Segoe UI Symbol" w:eastAsia="Segoe UI Symbol" w:hAnsi="Segoe UI Symbol" w:cs="Segoe UI Symbol"/>
        <w:b w:val="0"/>
        <w:i w:val="0"/>
        <w:strike w:val="0"/>
        <w:dstrike w:val="0"/>
        <w:color w:val="5C6F7C"/>
        <w:sz w:val="22"/>
        <w:szCs w:val="22"/>
        <w:u w:val="none" w:color="000000"/>
        <w:bdr w:val="none" w:sz="0" w:space="0" w:color="auto"/>
        <w:shd w:val="clear" w:color="auto" w:fill="auto"/>
        <w:vertAlign w:val="baseline"/>
      </w:rPr>
    </w:lvl>
  </w:abstractNum>
  <w:abstractNum w:abstractNumId="36" w15:restartNumberingAfterBreak="0">
    <w:nsid w:val="7EAE36EB"/>
    <w:multiLevelType w:val="hybridMultilevel"/>
    <w:tmpl w:val="20A6D68C"/>
    <w:lvl w:ilvl="0" w:tplc="49F2479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0BF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90D8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26E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2F1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F863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AF5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AD8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0AC7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9"/>
  </w:num>
  <w:num w:numId="3">
    <w:abstractNumId w:val="10"/>
  </w:num>
  <w:num w:numId="4">
    <w:abstractNumId w:val="17"/>
  </w:num>
  <w:num w:numId="5">
    <w:abstractNumId w:val="33"/>
  </w:num>
  <w:num w:numId="6">
    <w:abstractNumId w:val="26"/>
  </w:num>
  <w:num w:numId="7">
    <w:abstractNumId w:val="5"/>
  </w:num>
  <w:num w:numId="8">
    <w:abstractNumId w:val="34"/>
  </w:num>
  <w:num w:numId="9">
    <w:abstractNumId w:val="36"/>
  </w:num>
  <w:num w:numId="10">
    <w:abstractNumId w:val="0"/>
  </w:num>
  <w:num w:numId="11">
    <w:abstractNumId w:val="32"/>
  </w:num>
  <w:num w:numId="12">
    <w:abstractNumId w:val="20"/>
  </w:num>
  <w:num w:numId="13">
    <w:abstractNumId w:val="6"/>
  </w:num>
  <w:num w:numId="14">
    <w:abstractNumId w:val="27"/>
  </w:num>
  <w:num w:numId="15">
    <w:abstractNumId w:val="13"/>
  </w:num>
  <w:num w:numId="16">
    <w:abstractNumId w:val="28"/>
  </w:num>
  <w:num w:numId="17">
    <w:abstractNumId w:val="15"/>
  </w:num>
  <w:num w:numId="18">
    <w:abstractNumId w:val="2"/>
  </w:num>
  <w:num w:numId="19">
    <w:abstractNumId w:val="24"/>
  </w:num>
  <w:num w:numId="20">
    <w:abstractNumId w:val="1"/>
  </w:num>
  <w:num w:numId="21">
    <w:abstractNumId w:val="12"/>
  </w:num>
  <w:num w:numId="22">
    <w:abstractNumId w:val="7"/>
  </w:num>
  <w:num w:numId="23">
    <w:abstractNumId w:val="22"/>
  </w:num>
  <w:num w:numId="24">
    <w:abstractNumId w:val="18"/>
  </w:num>
  <w:num w:numId="25">
    <w:abstractNumId w:val="4"/>
  </w:num>
  <w:num w:numId="26">
    <w:abstractNumId w:val="25"/>
  </w:num>
  <w:num w:numId="27">
    <w:abstractNumId w:val="35"/>
  </w:num>
  <w:num w:numId="28">
    <w:abstractNumId w:val="11"/>
  </w:num>
  <w:num w:numId="29">
    <w:abstractNumId w:val="16"/>
  </w:num>
  <w:num w:numId="30">
    <w:abstractNumId w:val="29"/>
  </w:num>
  <w:num w:numId="31">
    <w:abstractNumId w:val="8"/>
  </w:num>
  <w:num w:numId="32">
    <w:abstractNumId w:val="23"/>
  </w:num>
  <w:num w:numId="33">
    <w:abstractNumId w:val="3"/>
  </w:num>
  <w:num w:numId="34">
    <w:abstractNumId w:val="31"/>
  </w:num>
  <w:num w:numId="35">
    <w:abstractNumId w:val="30"/>
  </w:num>
  <w:num w:numId="36">
    <w:abstractNumId w:val="14"/>
  </w:num>
  <w:num w:numId="3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Pilott">
    <w15:presenceInfo w15:providerId="AD" w15:userId="S::howard.pilott@etfoundation.co.uk::d949bc6a-09a8-4a50-be5d-c7ff4ccbb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F9"/>
    <w:rsid w:val="00005432"/>
    <w:rsid w:val="00006875"/>
    <w:rsid w:val="00011882"/>
    <w:rsid w:val="00035258"/>
    <w:rsid w:val="000368C2"/>
    <w:rsid w:val="00045D31"/>
    <w:rsid w:val="00047A18"/>
    <w:rsid w:val="00047BFF"/>
    <w:rsid w:val="00056393"/>
    <w:rsid w:val="000574EF"/>
    <w:rsid w:val="00060ACF"/>
    <w:rsid w:val="000738D9"/>
    <w:rsid w:val="000756EC"/>
    <w:rsid w:val="00090F06"/>
    <w:rsid w:val="000A145E"/>
    <w:rsid w:val="000A42FB"/>
    <w:rsid w:val="000D0E35"/>
    <w:rsid w:val="000F1538"/>
    <w:rsid w:val="000F43C2"/>
    <w:rsid w:val="00103E0D"/>
    <w:rsid w:val="00124DB4"/>
    <w:rsid w:val="00124E99"/>
    <w:rsid w:val="00125A0F"/>
    <w:rsid w:val="0014426D"/>
    <w:rsid w:val="00144C7E"/>
    <w:rsid w:val="00151E0D"/>
    <w:rsid w:val="00157A98"/>
    <w:rsid w:val="0017765C"/>
    <w:rsid w:val="00187750"/>
    <w:rsid w:val="00193436"/>
    <w:rsid w:val="001939AA"/>
    <w:rsid w:val="001A0F98"/>
    <w:rsid w:val="001A2F02"/>
    <w:rsid w:val="001A4092"/>
    <w:rsid w:val="001B0B23"/>
    <w:rsid w:val="001B12EF"/>
    <w:rsid w:val="001B60E3"/>
    <w:rsid w:val="001B7E35"/>
    <w:rsid w:val="001D0D05"/>
    <w:rsid w:val="001E5C37"/>
    <w:rsid w:val="001F15A5"/>
    <w:rsid w:val="001F36F3"/>
    <w:rsid w:val="001F6558"/>
    <w:rsid w:val="00203462"/>
    <w:rsid w:val="00204B76"/>
    <w:rsid w:val="00221060"/>
    <w:rsid w:val="00233475"/>
    <w:rsid w:val="002346A6"/>
    <w:rsid w:val="00235554"/>
    <w:rsid w:val="002452BF"/>
    <w:rsid w:val="00251403"/>
    <w:rsid w:val="0028265C"/>
    <w:rsid w:val="00284BFD"/>
    <w:rsid w:val="00290D55"/>
    <w:rsid w:val="002948EB"/>
    <w:rsid w:val="00295373"/>
    <w:rsid w:val="002954A2"/>
    <w:rsid w:val="002A36F9"/>
    <w:rsid w:val="002B3A96"/>
    <w:rsid w:val="002B3DA9"/>
    <w:rsid w:val="002C465C"/>
    <w:rsid w:val="002C5AE8"/>
    <w:rsid w:val="002C62E3"/>
    <w:rsid w:val="002C6398"/>
    <w:rsid w:val="002F17E3"/>
    <w:rsid w:val="00317065"/>
    <w:rsid w:val="003603AD"/>
    <w:rsid w:val="00361050"/>
    <w:rsid w:val="00387E57"/>
    <w:rsid w:val="0039200D"/>
    <w:rsid w:val="003A46E9"/>
    <w:rsid w:val="003E31D0"/>
    <w:rsid w:val="003E481B"/>
    <w:rsid w:val="003E5DE8"/>
    <w:rsid w:val="003F1477"/>
    <w:rsid w:val="003F2642"/>
    <w:rsid w:val="0040071C"/>
    <w:rsid w:val="0040607E"/>
    <w:rsid w:val="004205FE"/>
    <w:rsid w:val="004207D7"/>
    <w:rsid w:val="00421463"/>
    <w:rsid w:val="00426F87"/>
    <w:rsid w:val="00432E14"/>
    <w:rsid w:val="004357B0"/>
    <w:rsid w:val="00435882"/>
    <w:rsid w:val="00437785"/>
    <w:rsid w:val="00453D03"/>
    <w:rsid w:val="0045505C"/>
    <w:rsid w:val="004602FE"/>
    <w:rsid w:val="0046717D"/>
    <w:rsid w:val="00484521"/>
    <w:rsid w:val="00492A2D"/>
    <w:rsid w:val="004A5D6C"/>
    <w:rsid w:val="004D1EE6"/>
    <w:rsid w:val="004E4DCF"/>
    <w:rsid w:val="004F1E17"/>
    <w:rsid w:val="004F239F"/>
    <w:rsid w:val="0050207F"/>
    <w:rsid w:val="00502952"/>
    <w:rsid w:val="00502B7B"/>
    <w:rsid w:val="00514095"/>
    <w:rsid w:val="00523D2E"/>
    <w:rsid w:val="005244AE"/>
    <w:rsid w:val="00526C77"/>
    <w:rsid w:val="00530410"/>
    <w:rsid w:val="00534EF1"/>
    <w:rsid w:val="0056743B"/>
    <w:rsid w:val="0057340D"/>
    <w:rsid w:val="00582B51"/>
    <w:rsid w:val="00585A0A"/>
    <w:rsid w:val="00587EED"/>
    <w:rsid w:val="00587F5E"/>
    <w:rsid w:val="005A6821"/>
    <w:rsid w:val="005B79F3"/>
    <w:rsid w:val="005C5DA8"/>
    <w:rsid w:val="005D61B5"/>
    <w:rsid w:val="005E36A1"/>
    <w:rsid w:val="005E40E3"/>
    <w:rsid w:val="0060781A"/>
    <w:rsid w:val="00612AF6"/>
    <w:rsid w:val="006144AF"/>
    <w:rsid w:val="0061466D"/>
    <w:rsid w:val="006162D5"/>
    <w:rsid w:val="00621B7E"/>
    <w:rsid w:val="00623110"/>
    <w:rsid w:val="00623F31"/>
    <w:rsid w:val="0062573B"/>
    <w:rsid w:val="00626E24"/>
    <w:rsid w:val="0063334C"/>
    <w:rsid w:val="00633DB9"/>
    <w:rsid w:val="00634025"/>
    <w:rsid w:val="006644B5"/>
    <w:rsid w:val="00670B52"/>
    <w:rsid w:val="0069162D"/>
    <w:rsid w:val="006A5F47"/>
    <w:rsid w:val="006B0083"/>
    <w:rsid w:val="006B1675"/>
    <w:rsid w:val="006E5F04"/>
    <w:rsid w:val="00710A56"/>
    <w:rsid w:val="00712D03"/>
    <w:rsid w:val="007213C1"/>
    <w:rsid w:val="00741659"/>
    <w:rsid w:val="00743B39"/>
    <w:rsid w:val="0074558D"/>
    <w:rsid w:val="00745778"/>
    <w:rsid w:val="00747ABF"/>
    <w:rsid w:val="007500AC"/>
    <w:rsid w:val="00766726"/>
    <w:rsid w:val="00775DB4"/>
    <w:rsid w:val="007A4E27"/>
    <w:rsid w:val="007B552D"/>
    <w:rsid w:val="007C64CA"/>
    <w:rsid w:val="007C7629"/>
    <w:rsid w:val="007D7DD0"/>
    <w:rsid w:val="007E0170"/>
    <w:rsid w:val="007F2411"/>
    <w:rsid w:val="007F4D37"/>
    <w:rsid w:val="007F6DCE"/>
    <w:rsid w:val="008025DF"/>
    <w:rsid w:val="00803744"/>
    <w:rsid w:val="008100E0"/>
    <w:rsid w:val="00810FB2"/>
    <w:rsid w:val="00824F32"/>
    <w:rsid w:val="008320A7"/>
    <w:rsid w:val="00840F76"/>
    <w:rsid w:val="00846642"/>
    <w:rsid w:val="00863F48"/>
    <w:rsid w:val="00873E4E"/>
    <w:rsid w:val="00873F20"/>
    <w:rsid w:val="00876854"/>
    <w:rsid w:val="00887078"/>
    <w:rsid w:val="00891684"/>
    <w:rsid w:val="008B39EB"/>
    <w:rsid w:val="008B62EE"/>
    <w:rsid w:val="008C71C9"/>
    <w:rsid w:val="008C75D6"/>
    <w:rsid w:val="008E2832"/>
    <w:rsid w:val="008F7099"/>
    <w:rsid w:val="00900E92"/>
    <w:rsid w:val="00912A6E"/>
    <w:rsid w:val="00913E90"/>
    <w:rsid w:val="00935BD9"/>
    <w:rsid w:val="0095397E"/>
    <w:rsid w:val="00954AC6"/>
    <w:rsid w:val="00957800"/>
    <w:rsid w:val="0096230E"/>
    <w:rsid w:val="00971B45"/>
    <w:rsid w:val="00976580"/>
    <w:rsid w:val="009811F4"/>
    <w:rsid w:val="00997313"/>
    <w:rsid w:val="009A139C"/>
    <w:rsid w:val="009B08BD"/>
    <w:rsid w:val="009B4F3B"/>
    <w:rsid w:val="009C0173"/>
    <w:rsid w:val="009E28B3"/>
    <w:rsid w:val="009E5F4F"/>
    <w:rsid w:val="009F42E8"/>
    <w:rsid w:val="00A0106F"/>
    <w:rsid w:val="00A02FC0"/>
    <w:rsid w:val="00A136E2"/>
    <w:rsid w:val="00A26490"/>
    <w:rsid w:val="00A37959"/>
    <w:rsid w:val="00A40C88"/>
    <w:rsid w:val="00A60361"/>
    <w:rsid w:val="00A62C3C"/>
    <w:rsid w:val="00A67708"/>
    <w:rsid w:val="00A720C5"/>
    <w:rsid w:val="00A72B6F"/>
    <w:rsid w:val="00A7724E"/>
    <w:rsid w:val="00A83399"/>
    <w:rsid w:val="00A854F9"/>
    <w:rsid w:val="00A972B1"/>
    <w:rsid w:val="00AA44F1"/>
    <w:rsid w:val="00AA6149"/>
    <w:rsid w:val="00AB0E8B"/>
    <w:rsid w:val="00AB1F93"/>
    <w:rsid w:val="00AB5932"/>
    <w:rsid w:val="00AC70DC"/>
    <w:rsid w:val="00AD49C4"/>
    <w:rsid w:val="00AF3B77"/>
    <w:rsid w:val="00AF4CBB"/>
    <w:rsid w:val="00AF73B2"/>
    <w:rsid w:val="00B10C89"/>
    <w:rsid w:val="00B1470B"/>
    <w:rsid w:val="00B1487A"/>
    <w:rsid w:val="00B24546"/>
    <w:rsid w:val="00B35B2D"/>
    <w:rsid w:val="00B415A4"/>
    <w:rsid w:val="00B45E1B"/>
    <w:rsid w:val="00B56DEE"/>
    <w:rsid w:val="00B61D90"/>
    <w:rsid w:val="00B63508"/>
    <w:rsid w:val="00B739F2"/>
    <w:rsid w:val="00B74486"/>
    <w:rsid w:val="00B97279"/>
    <w:rsid w:val="00BB4795"/>
    <w:rsid w:val="00BB7708"/>
    <w:rsid w:val="00BC4D56"/>
    <w:rsid w:val="00BD3C0E"/>
    <w:rsid w:val="00BF39E9"/>
    <w:rsid w:val="00C041EB"/>
    <w:rsid w:val="00C06499"/>
    <w:rsid w:val="00C344DE"/>
    <w:rsid w:val="00C34BEA"/>
    <w:rsid w:val="00C4420E"/>
    <w:rsid w:val="00C57F6E"/>
    <w:rsid w:val="00C62638"/>
    <w:rsid w:val="00C67C53"/>
    <w:rsid w:val="00C764C2"/>
    <w:rsid w:val="00C8142E"/>
    <w:rsid w:val="00C816DE"/>
    <w:rsid w:val="00C960AB"/>
    <w:rsid w:val="00CA0744"/>
    <w:rsid w:val="00CC07BF"/>
    <w:rsid w:val="00CC0C42"/>
    <w:rsid w:val="00CC32D9"/>
    <w:rsid w:val="00CC337D"/>
    <w:rsid w:val="00CD75F6"/>
    <w:rsid w:val="00CD79A1"/>
    <w:rsid w:val="00CE2ECF"/>
    <w:rsid w:val="00CE4BE8"/>
    <w:rsid w:val="00CE56BA"/>
    <w:rsid w:val="00CF090A"/>
    <w:rsid w:val="00CF4E60"/>
    <w:rsid w:val="00D31C2B"/>
    <w:rsid w:val="00D33DF4"/>
    <w:rsid w:val="00D3699B"/>
    <w:rsid w:val="00D436FB"/>
    <w:rsid w:val="00D74B18"/>
    <w:rsid w:val="00D94568"/>
    <w:rsid w:val="00D94D8F"/>
    <w:rsid w:val="00D96805"/>
    <w:rsid w:val="00DB5CC6"/>
    <w:rsid w:val="00DC742F"/>
    <w:rsid w:val="00DD0B62"/>
    <w:rsid w:val="00DD428B"/>
    <w:rsid w:val="00DD4763"/>
    <w:rsid w:val="00DE1BC1"/>
    <w:rsid w:val="00DE5832"/>
    <w:rsid w:val="00DE634B"/>
    <w:rsid w:val="00E00207"/>
    <w:rsid w:val="00E0373D"/>
    <w:rsid w:val="00E058F9"/>
    <w:rsid w:val="00E07707"/>
    <w:rsid w:val="00E12A1F"/>
    <w:rsid w:val="00E12F66"/>
    <w:rsid w:val="00E1398E"/>
    <w:rsid w:val="00E17C2F"/>
    <w:rsid w:val="00E26E1D"/>
    <w:rsid w:val="00E433EB"/>
    <w:rsid w:val="00E4378D"/>
    <w:rsid w:val="00E550A2"/>
    <w:rsid w:val="00E926C1"/>
    <w:rsid w:val="00EA0D83"/>
    <w:rsid w:val="00EA4749"/>
    <w:rsid w:val="00EA5924"/>
    <w:rsid w:val="00EA7B50"/>
    <w:rsid w:val="00EB313A"/>
    <w:rsid w:val="00EC4192"/>
    <w:rsid w:val="00ED7182"/>
    <w:rsid w:val="00EE18A4"/>
    <w:rsid w:val="00EE3686"/>
    <w:rsid w:val="00EF136C"/>
    <w:rsid w:val="00EF23FB"/>
    <w:rsid w:val="00EF4E7A"/>
    <w:rsid w:val="00F00F40"/>
    <w:rsid w:val="00F06008"/>
    <w:rsid w:val="00F15068"/>
    <w:rsid w:val="00F214F3"/>
    <w:rsid w:val="00F25859"/>
    <w:rsid w:val="00F454AA"/>
    <w:rsid w:val="00F50184"/>
    <w:rsid w:val="00F55129"/>
    <w:rsid w:val="00F60068"/>
    <w:rsid w:val="00F65C2C"/>
    <w:rsid w:val="00F769FE"/>
    <w:rsid w:val="00F932DF"/>
    <w:rsid w:val="00F93EC5"/>
    <w:rsid w:val="00FB1C2E"/>
    <w:rsid w:val="00FD7885"/>
    <w:rsid w:val="00FE27E6"/>
    <w:rsid w:val="00FE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83EEA"/>
  <w15:docId w15:val="{7455A5DD-D472-45B3-A5A4-5C83982D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52" w:lineRule="auto"/>
      <w:ind w:left="10" w:hanging="10"/>
    </w:pPr>
    <w:rPr>
      <w:rFonts w:ascii="Georgia" w:eastAsia="Georgia" w:hAnsi="Georgia" w:cs="Georgia"/>
      <w:color w:val="000000"/>
    </w:rPr>
  </w:style>
  <w:style w:type="paragraph" w:styleId="Heading1">
    <w:name w:val="heading 1"/>
    <w:next w:val="Normal"/>
    <w:link w:val="Heading1Char"/>
    <w:uiPriority w:val="9"/>
    <w:qFormat/>
    <w:pPr>
      <w:keepNext/>
      <w:keepLines/>
      <w:spacing w:after="3" w:line="266" w:lineRule="auto"/>
      <w:ind w:left="152" w:hanging="10"/>
      <w:outlineLvl w:val="0"/>
    </w:pPr>
    <w:rPr>
      <w:rFonts w:ascii="Georgia" w:eastAsia="Georgia" w:hAnsi="Georgia" w:cs="Georgia"/>
      <w:b/>
      <w:color w:val="5C6F7C"/>
      <w:sz w:val="36"/>
    </w:rPr>
  </w:style>
  <w:style w:type="paragraph" w:styleId="Heading2">
    <w:name w:val="heading 2"/>
    <w:next w:val="Normal"/>
    <w:link w:val="Heading2Char"/>
    <w:uiPriority w:val="9"/>
    <w:unhideWhenUsed/>
    <w:qFormat/>
    <w:pPr>
      <w:keepNext/>
      <w:keepLines/>
      <w:spacing w:after="236"/>
      <w:ind w:left="10" w:hanging="10"/>
      <w:outlineLvl w:val="1"/>
    </w:pPr>
    <w:rPr>
      <w:rFonts w:ascii="Georgia" w:eastAsia="Georgia" w:hAnsi="Georgia" w:cs="Georgia"/>
      <w:b/>
      <w:color w:val="7BB8B8"/>
      <w:sz w:val="28"/>
    </w:rPr>
  </w:style>
  <w:style w:type="paragraph" w:styleId="Heading3">
    <w:name w:val="heading 3"/>
    <w:next w:val="Normal"/>
    <w:link w:val="Heading3Char"/>
    <w:uiPriority w:val="9"/>
    <w:unhideWhenUsed/>
    <w:qFormat/>
    <w:pPr>
      <w:keepNext/>
      <w:keepLines/>
      <w:spacing w:after="89" w:line="265" w:lineRule="auto"/>
      <w:ind w:left="10" w:hanging="10"/>
      <w:outlineLvl w:val="2"/>
    </w:pPr>
    <w:rPr>
      <w:rFonts w:ascii="Georgia" w:eastAsia="Georgia" w:hAnsi="Georgia" w:cs="Georgia"/>
      <w:b/>
      <w:color w:val="9AA71D"/>
      <w:sz w:val="24"/>
    </w:rPr>
  </w:style>
  <w:style w:type="paragraph" w:styleId="Heading4">
    <w:name w:val="heading 4"/>
    <w:next w:val="Normal"/>
    <w:link w:val="Heading4Char"/>
    <w:uiPriority w:val="9"/>
    <w:unhideWhenUsed/>
    <w:qFormat/>
    <w:pPr>
      <w:keepNext/>
      <w:keepLines/>
      <w:spacing w:after="260" w:line="264" w:lineRule="auto"/>
      <w:ind w:left="10" w:hanging="10"/>
      <w:outlineLvl w:val="3"/>
    </w:pPr>
    <w:rPr>
      <w:rFonts w:ascii="Georgia" w:eastAsia="Georgia" w:hAnsi="Georgia" w:cs="Georgia"/>
      <w:b/>
      <w:color w:val="9AA7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5C6F7C"/>
      <w:sz w:val="36"/>
    </w:rPr>
  </w:style>
  <w:style w:type="paragraph" w:customStyle="1" w:styleId="footnotedescription">
    <w:name w:val="footnote description"/>
    <w:next w:val="Normal"/>
    <w:link w:val="footnotedescriptionChar"/>
    <w:hidden/>
    <w:pPr>
      <w:spacing w:after="0"/>
      <w:ind w:left="6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2Char">
    <w:name w:val="Heading 2 Char"/>
    <w:link w:val="Heading2"/>
    <w:rPr>
      <w:rFonts w:ascii="Georgia" w:eastAsia="Georgia" w:hAnsi="Georgia" w:cs="Georgia"/>
      <w:b/>
      <w:color w:val="7BB8B8"/>
      <w:sz w:val="28"/>
    </w:rPr>
  </w:style>
  <w:style w:type="character" w:customStyle="1" w:styleId="Heading4Char">
    <w:name w:val="Heading 4 Char"/>
    <w:link w:val="Heading4"/>
    <w:rPr>
      <w:rFonts w:ascii="Georgia" w:eastAsia="Georgia" w:hAnsi="Georgia" w:cs="Georgia"/>
      <w:b/>
      <w:color w:val="9AA71D"/>
      <w:sz w:val="22"/>
    </w:rPr>
  </w:style>
  <w:style w:type="character" w:customStyle="1" w:styleId="Heading3Char">
    <w:name w:val="Heading 3 Char"/>
    <w:link w:val="Heading3"/>
    <w:rPr>
      <w:rFonts w:ascii="Georgia" w:eastAsia="Georgia" w:hAnsi="Georgia" w:cs="Georgia"/>
      <w:b/>
      <w:color w:val="9AA71D"/>
      <w:sz w:val="24"/>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7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486"/>
    <w:rPr>
      <w:rFonts w:ascii="Georgia" w:eastAsia="Georgia" w:hAnsi="Georgia" w:cs="Georgia"/>
      <w:color w:val="000000"/>
    </w:rPr>
  </w:style>
  <w:style w:type="paragraph" w:styleId="Footer">
    <w:name w:val="footer"/>
    <w:basedOn w:val="Normal"/>
    <w:link w:val="FooterChar"/>
    <w:uiPriority w:val="99"/>
    <w:unhideWhenUsed/>
    <w:rsid w:val="00B74486"/>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B74486"/>
    <w:rPr>
      <w:rFonts w:cs="Times New Roman"/>
      <w:lang w:val="en-US" w:eastAsia="en-US"/>
    </w:rPr>
  </w:style>
  <w:style w:type="paragraph" w:styleId="FootnoteText">
    <w:name w:val="footnote text"/>
    <w:basedOn w:val="Normal"/>
    <w:link w:val="FootnoteTextChar"/>
    <w:uiPriority w:val="99"/>
    <w:semiHidden/>
    <w:unhideWhenUsed/>
    <w:rsid w:val="000F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538"/>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0F1538"/>
    <w:rPr>
      <w:vertAlign w:val="superscript"/>
    </w:rPr>
  </w:style>
  <w:style w:type="paragraph" w:styleId="ListParagraph">
    <w:name w:val="List Paragraph"/>
    <w:basedOn w:val="Normal"/>
    <w:uiPriority w:val="34"/>
    <w:qFormat/>
    <w:rsid w:val="00157A98"/>
    <w:pPr>
      <w:spacing w:after="160" w:line="259" w:lineRule="auto"/>
      <w:ind w:left="720" w:firstLine="0"/>
      <w:contextualSpacing/>
    </w:pPr>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4602FE"/>
    <w:rPr>
      <w:sz w:val="16"/>
      <w:szCs w:val="16"/>
    </w:rPr>
  </w:style>
  <w:style w:type="paragraph" w:styleId="CommentText">
    <w:name w:val="annotation text"/>
    <w:basedOn w:val="Normal"/>
    <w:link w:val="CommentTextChar"/>
    <w:uiPriority w:val="99"/>
    <w:unhideWhenUsed/>
    <w:rsid w:val="004602FE"/>
    <w:pPr>
      <w:spacing w:line="240" w:lineRule="auto"/>
    </w:pPr>
    <w:rPr>
      <w:sz w:val="20"/>
      <w:szCs w:val="20"/>
    </w:rPr>
  </w:style>
  <w:style w:type="character" w:customStyle="1" w:styleId="CommentTextChar">
    <w:name w:val="Comment Text Char"/>
    <w:basedOn w:val="DefaultParagraphFont"/>
    <w:link w:val="CommentText"/>
    <w:uiPriority w:val="99"/>
    <w:rsid w:val="004602FE"/>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4602FE"/>
    <w:rPr>
      <w:b/>
      <w:bCs/>
    </w:rPr>
  </w:style>
  <w:style w:type="character" w:customStyle="1" w:styleId="CommentSubjectChar">
    <w:name w:val="Comment Subject Char"/>
    <w:basedOn w:val="CommentTextChar"/>
    <w:link w:val="CommentSubject"/>
    <w:uiPriority w:val="99"/>
    <w:semiHidden/>
    <w:rsid w:val="004602FE"/>
    <w:rPr>
      <w:rFonts w:ascii="Georgia" w:eastAsia="Georgia" w:hAnsi="Georgia" w:cs="Georgia"/>
      <w:b/>
      <w:bCs/>
      <w:color w:val="000000"/>
      <w:sz w:val="20"/>
      <w:szCs w:val="20"/>
    </w:rPr>
  </w:style>
  <w:style w:type="table" w:styleId="TableGrid0">
    <w:name w:val="Table Grid"/>
    <w:basedOn w:val="TableNormal"/>
    <w:uiPriority w:val="39"/>
    <w:rsid w:val="00A7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E90"/>
    <w:rPr>
      <w:color w:val="0563C1" w:themeColor="hyperlink"/>
      <w:u w:val="single"/>
    </w:rPr>
  </w:style>
  <w:style w:type="character" w:customStyle="1" w:styleId="UnresolvedMention">
    <w:name w:val="Unresolved Mention"/>
    <w:basedOn w:val="DefaultParagraphFont"/>
    <w:uiPriority w:val="99"/>
    <w:semiHidden/>
    <w:unhideWhenUsed/>
    <w:rsid w:val="0091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foundation.co.uk/wp-content/uploads/2014/05/4991-Prof-standards-A4_4-2.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8/08/relationships/commentsExtensible" Target="commentsExtensible.xml"/><Relationship Id="rId10" Type="http://schemas.openxmlformats.org/officeDocument/2006/relationships/hyperlink" Target="http://www.et-foundation.co.uk/wp-content/uploads/2014/05/4991-Prof-standards-A4_4-2.pdf"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howard.pilott@etfoundation.co.uk"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ADDD-BA87-4FAC-A51F-A2FD392C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14</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Poole</dc:creator>
  <cp:keywords/>
  <cp:lastModifiedBy>James Noble-Rogers</cp:lastModifiedBy>
  <cp:revision>312</cp:revision>
  <dcterms:created xsi:type="dcterms:W3CDTF">2021-11-24T10:05:00Z</dcterms:created>
  <dcterms:modified xsi:type="dcterms:W3CDTF">2022-01-11T09:07:00Z</dcterms:modified>
</cp:coreProperties>
</file>