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59699" w14:textId="33AC1E9C" w:rsidR="00050FFC" w:rsidRPr="009D476A" w:rsidRDefault="00050FFC">
      <w:pPr>
        <w:rPr>
          <w:sz w:val="28"/>
          <w:szCs w:val="28"/>
        </w:rPr>
      </w:pPr>
    </w:p>
    <w:p w14:paraId="6D1F0FCD" w14:textId="5BAE101A" w:rsidR="009D476A" w:rsidRPr="009D476A" w:rsidRDefault="009D476A">
      <w:pPr>
        <w:rPr>
          <w:sz w:val="28"/>
          <w:szCs w:val="28"/>
        </w:rPr>
      </w:pPr>
    </w:p>
    <w:p w14:paraId="0D4F4A5A" w14:textId="0347D8A6" w:rsidR="009D476A" w:rsidRPr="009D476A" w:rsidRDefault="009D476A" w:rsidP="009D476A">
      <w:pPr>
        <w:rPr>
          <w:rFonts w:ascii="Calibri" w:eastAsia="Times New Roman" w:hAnsi="Calibri" w:cs="Calibri"/>
          <w:b/>
          <w:bCs/>
          <w:color w:val="201F1E"/>
          <w:sz w:val="28"/>
          <w:szCs w:val="28"/>
          <w:lang w:eastAsia="en-GB"/>
        </w:rPr>
      </w:pPr>
      <w:r w:rsidRPr="009D476A">
        <w:rPr>
          <w:rFonts w:ascii="Calibri" w:eastAsia="Times New Roman" w:hAnsi="Calibri" w:cs="Calibri"/>
          <w:b/>
          <w:bCs/>
          <w:color w:val="201F1E"/>
          <w:sz w:val="28"/>
          <w:szCs w:val="28"/>
          <w:lang w:eastAsia="en-GB"/>
        </w:rPr>
        <w:t xml:space="preserve">USCET: Update briefing paper: An Integrated Accountability System </w:t>
      </w:r>
    </w:p>
    <w:p w14:paraId="35E419F7" w14:textId="77777777" w:rsidR="009D476A" w:rsidRPr="009D476A" w:rsidRDefault="009D476A" w:rsidP="009D476A">
      <w:pPr>
        <w:rPr>
          <w:rFonts w:ascii="Calibri" w:eastAsia="Times New Roman" w:hAnsi="Calibri" w:cs="Calibri"/>
          <w:b/>
          <w:bCs/>
          <w:color w:val="201F1E"/>
          <w:sz w:val="28"/>
          <w:szCs w:val="28"/>
          <w:lang w:eastAsia="en-GB"/>
        </w:rPr>
      </w:pPr>
      <w:r w:rsidRPr="009D476A">
        <w:rPr>
          <w:rFonts w:ascii="Calibri" w:eastAsia="Times New Roman" w:hAnsi="Calibri" w:cs="Calibri"/>
          <w:b/>
          <w:bCs/>
          <w:color w:val="201F1E"/>
          <w:sz w:val="28"/>
          <w:szCs w:val="28"/>
          <w:lang w:eastAsia="en-GB"/>
        </w:rPr>
        <w:t>October 2021</w:t>
      </w:r>
    </w:p>
    <w:p w14:paraId="0AC4E636" w14:textId="77777777" w:rsidR="009D476A" w:rsidRPr="009D476A" w:rsidRDefault="009D476A" w:rsidP="009D476A">
      <w:pPr>
        <w:rPr>
          <w:rFonts w:ascii="Calibri" w:eastAsia="Times New Roman" w:hAnsi="Calibri" w:cs="Calibri"/>
          <w:b/>
          <w:bCs/>
          <w:color w:val="201F1E"/>
          <w:sz w:val="28"/>
          <w:szCs w:val="28"/>
          <w:lang w:eastAsia="en-GB"/>
        </w:rPr>
      </w:pPr>
    </w:p>
    <w:p w14:paraId="726D526F" w14:textId="77777777" w:rsidR="009D476A" w:rsidRDefault="009D476A" w:rsidP="009D476A">
      <w:pPr>
        <w:rPr>
          <w:rFonts w:ascii="Calibri" w:eastAsia="Times New Roman" w:hAnsi="Calibri" w:cs="Calibri"/>
          <w:color w:val="201F1E"/>
          <w:lang w:eastAsia="en-GB"/>
        </w:rPr>
      </w:pPr>
      <w:r>
        <w:rPr>
          <w:rFonts w:ascii="Calibri" w:eastAsia="Times New Roman" w:hAnsi="Calibri" w:cs="Calibri"/>
          <w:color w:val="201F1E"/>
          <w:lang w:eastAsia="en-GB"/>
        </w:rPr>
        <w:t xml:space="preserve">In this short paper, the members of </w:t>
      </w:r>
      <w:r w:rsidRPr="009D476A">
        <w:rPr>
          <w:rFonts w:ascii="Calibri" w:eastAsia="Times New Roman" w:hAnsi="Calibri" w:cs="Calibri"/>
          <w:color w:val="201F1E"/>
          <w:lang w:eastAsia="en-GB"/>
        </w:rPr>
        <w:t>USCET</w:t>
      </w:r>
      <w:r>
        <w:rPr>
          <w:rFonts w:ascii="Calibri" w:eastAsia="Times New Roman" w:hAnsi="Calibri" w:cs="Calibri"/>
          <w:color w:val="201F1E"/>
          <w:lang w:eastAsia="en-GB"/>
        </w:rPr>
        <w:t xml:space="preserve"> would like to express their concern about the accountability and inspection process presented to ITE partnerships by Estyn and the EWC.</w:t>
      </w:r>
    </w:p>
    <w:p w14:paraId="12E39050" w14:textId="77777777" w:rsidR="009D476A" w:rsidRDefault="009D476A" w:rsidP="009D476A">
      <w:pPr>
        <w:rPr>
          <w:rFonts w:ascii="Calibri" w:eastAsia="Times New Roman" w:hAnsi="Calibri" w:cs="Calibri"/>
          <w:color w:val="201F1E"/>
          <w:lang w:eastAsia="en-GB"/>
        </w:rPr>
      </w:pPr>
    </w:p>
    <w:p w14:paraId="31A9561C" w14:textId="7622E0AD" w:rsidR="009D476A" w:rsidRPr="009D476A" w:rsidRDefault="009D476A" w:rsidP="009D476A">
      <w:pPr>
        <w:rPr>
          <w:rFonts w:ascii="Calibri" w:eastAsia="Times New Roman" w:hAnsi="Calibri" w:cs="Calibri"/>
          <w:color w:val="201F1E"/>
          <w:lang w:eastAsia="en-GB"/>
        </w:rPr>
      </w:pPr>
      <w:r>
        <w:rPr>
          <w:rFonts w:ascii="Calibri" w:eastAsia="Times New Roman" w:hAnsi="Calibri" w:cs="Calibri"/>
          <w:color w:val="201F1E"/>
          <w:lang w:eastAsia="en-GB"/>
        </w:rPr>
        <w:t xml:space="preserve">Our aim is </w:t>
      </w:r>
      <w:r w:rsidRPr="009D476A">
        <w:rPr>
          <w:rFonts w:ascii="Calibri" w:eastAsia="Times New Roman" w:hAnsi="Calibri" w:cs="Calibri"/>
          <w:color w:val="201F1E"/>
          <w:lang w:eastAsia="en-GB"/>
        </w:rPr>
        <w:t>to influenc</w:t>
      </w:r>
      <w:r w:rsidR="00B729FE">
        <w:rPr>
          <w:rFonts w:ascii="Calibri" w:eastAsia="Times New Roman" w:hAnsi="Calibri" w:cs="Calibri"/>
          <w:color w:val="201F1E"/>
          <w:lang w:eastAsia="en-GB"/>
        </w:rPr>
        <w:t>e</w:t>
      </w:r>
      <w:r w:rsidRPr="009D476A">
        <w:rPr>
          <w:rFonts w:ascii="Calibri" w:eastAsia="Times New Roman" w:hAnsi="Calibri" w:cs="Calibri"/>
          <w:color w:val="201F1E"/>
          <w:lang w:eastAsia="en-GB"/>
        </w:rPr>
        <w:t xml:space="preserve"> and shap</w:t>
      </w:r>
      <w:r w:rsidR="00B729FE">
        <w:rPr>
          <w:rFonts w:ascii="Calibri" w:eastAsia="Times New Roman" w:hAnsi="Calibri" w:cs="Calibri"/>
          <w:color w:val="201F1E"/>
          <w:lang w:eastAsia="en-GB"/>
        </w:rPr>
        <w:t>e</w:t>
      </w:r>
      <w:r w:rsidRPr="009D476A">
        <w:rPr>
          <w:rFonts w:ascii="Calibri" w:eastAsia="Times New Roman" w:hAnsi="Calibri" w:cs="Calibri"/>
          <w:color w:val="201F1E"/>
          <w:lang w:eastAsia="en-GB"/>
        </w:rPr>
        <w:t xml:space="preserve"> an integrated accountability and monitoring system that supports the enactment of the National Mission, and contributes to the development of Teacher Education in Wales.</w:t>
      </w:r>
    </w:p>
    <w:p w14:paraId="73188B8B" w14:textId="77777777" w:rsidR="009D476A" w:rsidRPr="009D476A" w:rsidRDefault="009D476A" w:rsidP="009D476A">
      <w:pPr>
        <w:rPr>
          <w:rFonts w:ascii="Calibri" w:eastAsia="Times New Roman" w:hAnsi="Calibri" w:cs="Calibri"/>
          <w:color w:val="201F1E"/>
          <w:lang w:eastAsia="en-GB"/>
        </w:rPr>
      </w:pPr>
    </w:p>
    <w:p w14:paraId="0FAE5700" w14:textId="72FCEB62" w:rsidR="009D476A" w:rsidRDefault="009D476A" w:rsidP="009D476A">
      <w:pPr>
        <w:rPr>
          <w:rFonts w:eastAsia="Times New Roman" w:cstheme="minorHAnsi"/>
          <w:color w:val="201F1E"/>
          <w:lang w:eastAsia="en-GB"/>
        </w:rPr>
      </w:pPr>
      <w:r w:rsidRPr="009D476A">
        <w:rPr>
          <w:rFonts w:eastAsia="Times New Roman" w:cstheme="minorHAnsi"/>
          <w:color w:val="201F1E"/>
          <w:lang w:eastAsia="en-GB"/>
        </w:rPr>
        <w:t>For decades, the education system in Wales has fallen prey to an excessively burdensome and centralised and zealous accountability system which has led to a culture of performativity</w:t>
      </w:r>
      <w:r>
        <w:rPr>
          <w:rFonts w:eastAsia="Times New Roman" w:cstheme="minorHAnsi"/>
          <w:color w:val="201F1E"/>
          <w:lang w:eastAsia="en-GB"/>
        </w:rPr>
        <w:t>;</w:t>
      </w:r>
      <w:r w:rsidRPr="009D476A">
        <w:rPr>
          <w:rFonts w:eastAsia="Times New Roman" w:cstheme="minorHAnsi"/>
          <w:color w:val="201F1E"/>
          <w:lang w:eastAsia="en-GB"/>
        </w:rPr>
        <w:t xml:space="preserve"> reduc</w:t>
      </w:r>
      <w:r>
        <w:rPr>
          <w:rFonts w:eastAsia="Times New Roman" w:cstheme="minorHAnsi"/>
          <w:color w:val="201F1E"/>
          <w:lang w:eastAsia="en-GB"/>
        </w:rPr>
        <w:t>ing</w:t>
      </w:r>
      <w:r w:rsidRPr="009D476A">
        <w:rPr>
          <w:rFonts w:eastAsia="Times New Roman" w:cstheme="minorHAnsi"/>
          <w:color w:val="201F1E"/>
          <w:lang w:eastAsia="en-GB"/>
        </w:rPr>
        <w:t xml:space="preserve"> the agency and autonomy of the profession. The inclusion of both Estyn and the EWC in inspecting and monitoring needs to be carefully considered</w:t>
      </w:r>
      <w:r>
        <w:rPr>
          <w:rFonts w:eastAsia="Times New Roman" w:cstheme="minorHAnsi"/>
          <w:color w:val="201F1E"/>
          <w:lang w:eastAsia="en-GB"/>
        </w:rPr>
        <w:t xml:space="preserve"> in light of any behaviours that promote a performativity culture.</w:t>
      </w:r>
    </w:p>
    <w:p w14:paraId="6BDF1026" w14:textId="677B8441" w:rsidR="009D476A" w:rsidRDefault="009D476A" w:rsidP="009D476A">
      <w:pPr>
        <w:rPr>
          <w:rFonts w:eastAsia="Times New Roman" w:cstheme="minorHAnsi"/>
          <w:color w:val="201F1E"/>
          <w:lang w:eastAsia="en-GB"/>
        </w:rPr>
      </w:pPr>
    </w:p>
    <w:p w14:paraId="08DDCD9B" w14:textId="1CFD8E11" w:rsidR="009D476A" w:rsidRPr="009D476A" w:rsidRDefault="009D476A" w:rsidP="009D476A">
      <w:pPr>
        <w:rPr>
          <w:rFonts w:ascii="Calibri" w:eastAsia="Times New Roman" w:hAnsi="Calibri" w:cs="Calibri"/>
          <w:color w:val="201F1E"/>
          <w:lang w:eastAsia="en-GB"/>
        </w:rPr>
      </w:pPr>
      <w:r w:rsidRPr="009D476A">
        <w:rPr>
          <w:rFonts w:ascii="Calibri" w:eastAsia="Times New Roman" w:hAnsi="Calibri" w:cs="Calibri"/>
          <w:color w:val="201F1E"/>
          <w:lang w:eastAsia="en-GB"/>
        </w:rPr>
        <w:t xml:space="preserve">As accredited partnerships, we have a new opportunity to move away from the historic culture of </w:t>
      </w:r>
      <w:r w:rsidR="00843C22">
        <w:rPr>
          <w:rFonts w:ascii="Calibri" w:eastAsia="Times New Roman" w:hAnsi="Calibri" w:cs="Calibri"/>
          <w:color w:val="201F1E"/>
          <w:lang w:eastAsia="en-GB"/>
        </w:rPr>
        <w:t>ticking boxes</w:t>
      </w:r>
      <w:r w:rsidRPr="009D476A">
        <w:rPr>
          <w:rFonts w:ascii="Calibri" w:eastAsia="Times New Roman" w:hAnsi="Calibri" w:cs="Calibri"/>
          <w:color w:val="201F1E"/>
          <w:lang w:eastAsia="en-GB"/>
        </w:rPr>
        <w:t xml:space="preserve"> towards a better understanding of measuring quality in ITE – one which motivates the different players towards the shared purpose of educating high-quality teachers.</w:t>
      </w:r>
    </w:p>
    <w:p w14:paraId="088D9499" w14:textId="77777777" w:rsidR="009D476A" w:rsidRPr="009D476A" w:rsidRDefault="009D476A" w:rsidP="009D476A">
      <w:pPr>
        <w:rPr>
          <w:rFonts w:eastAsia="Times New Roman" w:cstheme="minorHAnsi"/>
          <w:color w:val="201F1E"/>
          <w:lang w:eastAsia="en-GB"/>
        </w:rPr>
      </w:pPr>
    </w:p>
    <w:p w14:paraId="3F297E7A" w14:textId="77777777" w:rsidR="009D476A" w:rsidRPr="009D476A" w:rsidRDefault="009D476A" w:rsidP="009D476A">
      <w:pPr>
        <w:rPr>
          <w:rFonts w:eastAsia="Times New Roman" w:cstheme="minorHAnsi"/>
          <w:color w:val="201F1E"/>
          <w:lang w:eastAsia="en-GB"/>
        </w:rPr>
      </w:pPr>
      <w:r w:rsidRPr="009D476A">
        <w:rPr>
          <w:rFonts w:eastAsia="Times New Roman" w:cstheme="minorHAnsi"/>
          <w:color w:val="201F1E"/>
          <w:lang w:eastAsia="en-GB"/>
        </w:rPr>
        <w:t>At a recent USCET meeting, both the EWC and Estyn stated that they were committed to developing a ‘single’ process for accreditations, monitoring and inspection. It was recognised that there is congestion in the system but were confident that this would ‘grow out’.  Both organisations asked for patience as they work towards the single system.</w:t>
      </w:r>
    </w:p>
    <w:p w14:paraId="35E5E8E9" w14:textId="77777777" w:rsidR="009D476A" w:rsidRPr="009D476A" w:rsidRDefault="009D476A" w:rsidP="009D476A">
      <w:pPr>
        <w:rPr>
          <w:rFonts w:eastAsia="Times New Roman" w:cstheme="minorHAnsi"/>
          <w:color w:val="201F1E"/>
          <w:lang w:eastAsia="en-GB"/>
        </w:rPr>
      </w:pPr>
    </w:p>
    <w:p w14:paraId="5024FD46" w14:textId="2238C6D2" w:rsidR="009D476A" w:rsidRDefault="009D476A" w:rsidP="009D476A">
      <w:pPr>
        <w:rPr>
          <w:rFonts w:eastAsia="Times New Roman" w:cstheme="minorHAnsi"/>
          <w:color w:val="201F1E"/>
          <w:lang w:eastAsia="en-GB"/>
        </w:rPr>
      </w:pPr>
      <w:r w:rsidRPr="009D476A">
        <w:rPr>
          <w:rFonts w:eastAsia="Times New Roman" w:cstheme="minorHAnsi"/>
          <w:color w:val="201F1E"/>
          <w:lang w:eastAsia="en-GB"/>
        </w:rPr>
        <w:t>However</w:t>
      </w:r>
      <w:r w:rsidR="00843C22">
        <w:rPr>
          <w:rFonts w:eastAsia="Times New Roman" w:cstheme="minorHAnsi"/>
          <w:color w:val="201F1E"/>
          <w:lang w:eastAsia="en-GB"/>
        </w:rPr>
        <w:t xml:space="preserve"> whilst this is a welcome development</w:t>
      </w:r>
      <w:r w:rsidRPr="009D476A">
        <w:rPr>
          <w:rFonts w:eastAsia="Times New Roman" w:cstheme="minorHAnsi"/>
          <w:color w:val="201F1E"/>
          <w:lang w:eastAsia="en-GB"/>
        </w:rPr>
        <w:t xml:space="preserve">, pilot inspections are live and USCET considers that this </w:t>
      </w:r>
      <w:r w:rsidR="00383BC4">
        <w:rPr>
          <w:rFonts w:eastAsia="Times New Roman" w:cstheme="minorHAnsi"/>
          <w:color w:val="201F1E"/>
          <w:lang w:eastAsia="en-GB"/>
        </w:rPr>
        <w:t>to be</w:t>
      </w:r>
      <w:r>
        <w:rPr>
          <w:rFonts w:eastAsia="Times New Roman" w:cstheme="minorHAnsi"/>
          <w:color w:val="201F1E"/>
          <w:lang w:eastAsia="en-GB"/>
        </w:rPr>
        <w:t xml:space="preserve"> inappropriate </w:t>
      </w:r>
      <w:r w:rsidRPr="009D476A">
        <w:rPr>
          <w:rFonts w:eastAsia="Times New Roman" w:cstheme="minorHAnsi"/>
          <w:color w:val="201F1E"/>
          <w:lang w:eastAsia="en-GB"/>
        </w:rPr>
        <w:t>given that</w:t>
      </w:r>
      <w:r w:rsidR="00383BC4">
        <w:rPr>
          <w:rFonts w:eastAsia="Times New Roman" w:cstheme="minorHAnsi"/>
          <w:color w:val="201F1E"/>
          <w:lang w:eastAsia="en-GB"/>
        </w:rPr>
        <w:t xml:space="preserve"> a</w:t>
      </w:r>
      <w:r w:rsidRPr="009D476A">
        <w:rPr>
          <w:rFonts w:eastAsia="Times New Roman" w:cstheme="minorHAnsi"/>
          <w:color w:val="201F1E"/>
          <w:lang w:eastAsia="en-GB"/>
        </w:rPr>
        <w:t xml:space="preserve"> new</w:t>
      </w:r>
      <w:r>
        <w:rPr>
          <w:rFonts w:eastAsia="Times New Roman" w:cstheme="minorHAnsi"/>
          <w:color w:val="201F1E"/>
          <w:lang w:eastAsia="en-GB"/>
        </w:rPr>
        <w:t xml:space="preserve"> single </w:t>
      </w:r>
      <w:r w:rsidRPr="009D476A">
        <w:rPr>
          <w:rFonts w:eastAsia="Times New Roman" w:cstheme="minorHAnsi"/>
          <w:color w:val="201F1E"/>
          <w:lang w:eastAsia="en-GB"/>
        </w:rPr>
        <w:t xml:space="preserve"> process will come into play; partnerships should have an equitable experience</w:t>
      </w:r>
      <w:r>
        <w:rPr>
          <w:rFonts w:eastAsia="Times New Roman" w:cstheme="minorHAnsi"/>
          <w:color w:val="201F1E"/>
          <w:lang w:eastAsia="en-GB"/>
        </w:rPr>
        <w:t xml:space="preserve"> from the outset</w:t>
      </w:r>
      <w:r w:rsidR="00383BC4">
        <w:rPr>
          <w:rFonts w:eastAsia="Times New Roman" w:cstheme="minorHAnsi"/>
          <w:color w:val="201F1E"/>
          <w:lang w:eastAsia="en-GB"/>
        </w:rPr>
        <w:t xml:space="preserve"> and </w:t>
      </w:r>
      <w:r w:rsidR="00E04EFC">
        <w:rPr>
          <w:rFonts w:eastAsia="Times New Roman" w:cstheme="minorHAnsi"/>
          <w:color w:val="201F1E"/>
          <w:lang w:eastAsia="en-GB"/>
        </w:rPr>
        <w:t>pilot inspections should be paused.</w:t>
      </w:r>
    </w:p>
    <w:p w14:paraId="786321FA" w14:textId="0E1B796C" w:rsidR="009D476A" w:rsidRDefault="009D476A" w:rsidP="009D476A">
      <w:pPr>
        <w:rPr>
          <w:rFonts w:eastAsia="Times New Roman" w:cstheme="minorHAnsi"/>
          <w:color w:val="201F1E"/>
          <w:lang w:eastAsia="en-GB"/>
        </w:rPr>
      </w:pPr>
    </w:p>
    <w:p w14:paraId="4F0DD29D" w14:textId="7040018E" w:rsidR="009D476A" w:rsidRPr="009D476A" w:rsidRDefault="009D476A" w:rsidP="009D476A">
      <w:pPr>
        <w:rPr>
          <w:rFonts w:eastAsia="Times New Roman" w:cstheme="minorHAnsi"/>
          <w:color w:val="201F1E"/>
          <w:lang w:eastAsia="en-GB"/>
        </w:rPr>
      </w:pPr>
      <w:r w:rsidRPr="009D476A">
        <w:rPr>
          <w:rFonts w:ascii="Calibri" w:eastAsia="Times New Roman" w:hAnsi="Calibri" w:cs="Calibri"/>
          <w:color w:val="201F1E"/>
          <w:lang w:eastAsia="en-GB"/>
        </w:rPr>
        <w:t xml:space="preserve">Following recent discussions and the sharing of the EWC Monitoring document (October 2021), </w:t>
      </w:r>
      <w:r>
        <w:rPr>
          <w:rFonts w:eastAsia="Times New Roman" w:cstheme="minorHAnsi"/>
          <w:color w:val="201F1E"/>
          <w:lang w:eastAsia="en-GB"/>
        </w:rPr>
        <w:t>th</w:t>
      </w:r>
      <w:r w:rsidR="00E04EFC">
        <w:rPr>
          <w:rFonts w:eastAsia="Times New Roman" w:cstheme="minorHAnsi"/>
          <w:color w:val="201F1E"/>
          <w:lang w:eastAsia="en-GB"/>
        </w:rPr>
        <w:t>is</w:t>
      </w:r>
      <w:r>
        <w:rPr>
          <w:rFonts w:eastAsia="Times New Roman" w:cstheme="minorHAnsi"/>
          <w:color w:val="201F1E"/>
          <w:lang w:eastAsia="en-GB"/>
        </w:rPr>
        <w:t xml:space="preserve"> paper now goes on to highlight some specific points of concern which, we believe, would be helpful when discussing the single process.</w:t>
      </w:r>
    </w:p>
    <w:p w14:paraId="36153CF9" w14:textId="77777777" w:rsidR="009D476A" w:rsidRPr="009D476A" w:rsidRDefault="009D476A" w:rsidP="009D476A">
      <w:pPr>
        <w:rPr>
          <w:rFonts w:eastAsia="Times New Roman" w:cstheme="minorHAnsi"/>
          <w:color w:val="201F1E"/>
          <w:lang w:eastAsia="en-GB"/>
        </w:rPr>
      </w:pPr>
    </w:p>
    <w:p w14:paraId="540485CB" w14:textId="77777777" w:rsidR="009D476A" w:rsidRPr="009D476A" w:rsidRDefault="009D476A" w:rsidP="009D476A">
      <w:pPr>
        <w:rPr>
          <w:rFonts w:ascii="Calibri" w:eastAsia="Times New Roman" w:hAnsi="Calibri" w:cs="Calibri"/>
          <w:color w:val="201F1E"/>
          <w:lang w:eastAsia="en-GB"/>
        </w:rPr>
      </w:pPr>
    </w:p>
    <w:p w14:paraId="4C8DA100" w14:textId="77777777" w:rsidR="009D476A" w:rsidRPr="009D476A" w:rsidRDefault="009D476A" w:rsidP="009D476A">
      <w:pPr>
        <w:rPr>
          <w:rFonts w:ascii="Calibri" w:eastAsia="Times New Roman" w:hAnsi="Calibri" w:cs="Calibri"/>
          <w:b/>
          <w:bCs/>
          <w:color w:val="201F1E"/>
          <w:lang w:eastAsia="en-GB"/>
        </w:rPr>
      </w:pPr>
      <w:r w:rsidRPr="009D476A">
        <w:rPr>
          <w:rFonts w:ascii="Calibri" w:eastAsia="Times New Roman" w:hAnsi="Calibri" w:cs="Calibri"/>
          <w:b/>
          <w:bCs/>
          <w:color w:val="201F1E"/>
          <w:lang w:eastAsia="en-GB"/>
        </w:rPr>
        <w:t>Covid Context</w:t>
      </w:r>
    </w:p>
    <w:p w14:paraId="7066582F" w14:textId="43997726" w:rsidR="009D476A" w:rsidRDefault="009D476A" w:rsidP="009D476A">
      <w:pPr>
        <w:rPr>
          <w:rFonts w:ascii="Calibri" w:eastAsia="Times New Roman" w:hAnsi="Calibri" w:cs="Calibri"/>
          <w:color w:val="201F1E"/>
          <w:lang w:eastAsia="en-GB"/>
        </w:rPr>
      </w:pPr>
      <w:r w:rsidRPr="009D476A">
        <w:rPr>
          <w:rFonts w:ascii="Calibri" w:eastAsia="Times New Roman" w:hAnsi="Calibri" w:cs="Calibri"/>
          <w:color w:val="201F1E"/>
          <w:lang w:eastAsia="en-GB"/>
        </w:rPr>
        <w:t xml:space="preserve">No partnership provider has been immune from contingency planning which has affected the roll out of the intended accredited programmes. The current year is not business as usual and further challenges and disruption are </w:t>
      </w:r>
      <w:r w:rsidR="00E20B64">
        <w:rPr>
          <w:rFonts w:ascii="Calibri" w:eastAsia="Times New Roman" w:hAnsi="Calibri" w:cs="Calibri"/>
          <w:color w:val="201F1E"/>
          <w:lang w:eastAsia="en-GB"/>
        </w:rPr>
        <w:t>happening at a pace</w:t>
      </w:r>
      <w:r w:rsidRPr="009D476A">
        <w:rPr>
          <w:rFonts w:ascii="Calibri" w:eastAsia="Times New Roman" w:hAnsi="Calibri" w:cs="Calibri"/>
          <w:color w:val="201F1E"/>
          <w:lang w:eastAsia="en-GB"/>
        </w:rPr>
        <w:t xml:space="preserve">. </w:t>
      </w:r>
    </w:p>
    <w:p w14:paraId="717CCB96" w14:textId="77777777" w:rsidR="0035743E" w:rsidRPr="009D476A" w:rsidRDefault="0035743E" w:rsidP="009D476A">
      <w:pPr>
        <w:rPr>
          <w:rFonts w:ascii="Calibri" w:eastAsia="Times New Roman" w:hAnsi="Calibri" w:cs="Calibri"/>
          <w:color w:val="201F1E"/>
          <w:lang w:eastAsia="en-GB"/>
        </w:rPr>
      </w:pPr>
    </w:p>
    <w:p w14:paraId="21520574" w14:textId="086C1772" w:rsidR="009D476A" w:rsidRPr="009D476A" w:rsidRDefault="0035743E" w:rsidP="009D476A">
      <w:pPr>
        <w:rPr>
          <w:rFonts w:ascii="Calibri" w:eastAsia="Times New Roman" w:hAnsi="Calibri" w:cs="Calibri"/>
          <w:color w:val="201F1E"/>
          <w:lang w:eastAsia="en-GB"/>
        </w:rPr>
      </w:pPr>
      <w:r>
        <w:rPr>
          <w:rFonts w:ascii="Calibri" w:eastAsia="Times New Roman" w:hAnsi="Calibri" w:cs="Calibri"/>
          <w:color w:val="201F1E"/>
          <w:lang w:eastAsia="en-GB"/>
        </w:rPr>
        <w:t>With this in mind, t</w:t>
      </w:r>
      <w:r w:rsidR="009D476A" w:rsidRPr="009D476A">
        <w:rPr>
          <w:rFonts w:ascii="Calibri" w:eastAsia="Times New Roman" w:hAnsi="Calibri" w:cs="Calibri"/>
          <w:color w:val="201F1E"/>
          <w:lang w:eastAsia="en-GB"/>
        </w:rPr>
        <w:t xml:space="preserve">he wellbeing of teacher educators, student-teachers and </w:t>
      </w:r>
      <w:r>
        <w:rPr>
          <w:rFonts w:ascii="Calibri" w:eastAsia="Times New Roman" w:hAnsi="Calibri" w:cs="Calibri"/>
          <w:color w:val="201F1E"/>
          <w:lang w:eastAsia="en-GB"/>
        </w:rPr>
        <w:t>the needs of schools</w:t>
      </w:r>
      <w:r w:rsidR="009D476A" w:rsidRPr="009D476A">
        <w:rPr>
          <w:rFonts w:ascii="Calibri" w:eastAsia="Times New Roman" w:hAnsi="Calibri" w:cs="Calibri"/>
          <w:color w:val="201F1E"/>
          <w:lang w:eastAsia="en-GB"/>
        </w:rPr>
        <w:t xml:space="preserve"> needs to be at the centre of our practice – in our view, this is not the time for inspection.</w:t>
      </w:r>
    </w:p>
    <w:p w14:paraId="62A7E8B6" w14:textId="77777777" w:rsidR="009D476A" w:rsidRPr="009D476A" w:rsidRDefault="009D476A" w:rsidP="009D476A">
      <w:pPr>
        <w:rPr>
          <w:rFonts w:ascii="Calibri" w:eastAsia="Times New Roman" w:hAnsi="Calibri" w:cs="Calibri"/>
          <w:color w:val="201F1E"/>
          <w:lang w:eastAsia="en-GB"/>
        </w:rPr>
      </w:pPr>
    </w:p>
    <w:p w14:paraId="5E978973" w14:textId="11785B07" w:rsidR="009D476A" w:rsidRPr="009D476A" w:rsidRDefault="00C11038" w:rsidP="009D476A">
      <w:pPr>
        <w:rPr>
          <w:rFonts w:ascii="Calibri" w:eastAsia="Times New Roman" w:hAnsi="Calibri" w:cs="Calibri"/>
          <w:color w:val="201F1E"/>
          <w:lang w:eastAsia="en-GB"/>
        </w:rPr>
      </w:pPr>
      <w:r>
        <w:rPr>
          <w:rFonts w:ascii="Calibri" w:eastAsia="Times New Roman" w:hAnsi="Calibri" w:cs="Calibri"/>
          <w:color w:val="201F1E"/>
          <w:lang w:eastAsia="en-GB"/>
        </w:rPr>
        <w:t>Also, r</w:t>
      </w:r>
      <w:r w:rsidR="009D476A" w:rsidRPr="009D476A">
        <w:rPr>
          <w:rFonts w:ascii="Calibri" w:eastAsia="Times New Roman" w:hAnsi="Calibri" w:cs="Calibri"/>
          <w:color w:val="201F1E"/>
          <w:lang w:eastAsia="en-GB"/>
        </w:rPr>
        <w:t>eflecting on the lived experience of the try-out visits, the time given to organising the schedule and collating documentation for the VIR felt as demanding as real inspections.</w:t>
      </w:r>
      <w:r>
        <w:rPr>
          <w:rFonts w:ascii="Calibri" w:eastAsia="Times New Roman" w:hAnsi="Calibri" w:cs="Calibri"/>
          <w:color w:val="201F1E"/>
          <w:lang w:eastAsia="en-GB"/>
        </w:rPr>
        <w:t xml:space="preserve"> Partnerships cannot </w:t>
      </w:r>
      <w:r w:rsidR="00A90298">
        <w:rPr>
          <w:rFonts w:ascii="Calibri" w:eastAsia="Times New Roman" w:hAnsi="Calibri" w:cs="Calibri"/>
          <w:color w:val="201F1E"/>
          <w:lang w:eastAsia="en-GB"/>
        </w:rPr>
        <w:t>manage this workload given the ongoing challenges of running the programmes.</w:t>
      </w:r>
    </w:p>
    <w:p w14:paraId="7680D9DD" w14:textId="77777777" w:rsidR="009D476A" w:rsidRPr="009D476A" w:rsidRDefault="009D476A" w:rsidP="009D476A">
      <w:pPr>
        <w:rPr>
          <w:rFonts w:ascii="Calibri" w:eastAsia="Times New Roman" w:hAnsi="Calibri" w:cs="Calibri"/>
          <w:color w:val="201F1E"/>
          <w:lang w:eastAsia="en-GB"/>
        </w:rPr>
      </w:pPr>
    </w:p>
    <w:p w14:paraId="4832F25D" w14:textId="77777777" w:rsidR="009D476A" w:rsidRPr="009D476A" w:rsidRDefault="009D476A" w:rsidP="009D476A">
      <w:pPr>
        <w:rPr>
          <w:rFonts w:ascii="Calibri" w:eastAsia="Times New Roman" w:hAnsi="Calibri" w:cs="Calibri"/>
          <w:color w:val="201F1E"/>
          <w:sz w:val="22"/>
          <w:szCs w:val="22"/>
          <w:lang w:eastAsia="en-GB"/>
        </w:rPr>
      </w:pPr>
      <w:r w:rsidRPr="009D476A">
        <w:rPr>
          <w:rFonts w:ascii="Calibri" w:eastAsia="Times New Roman" w:hAnsi="Calibri" w:cs="Calibri"/>
          <w:color w:val="201F1E"/>
          <w:lang w:eastAsia="en-GB"/>
        </w:rPr>
        <w:t xml:space="preserve">Furthermore, partnership schools will not benefit from the pause in inspections. </w:t>
      </w:r>
      <w:r w:rsidRPr="009D476A">
        <w:rPr>
          <w:rFonts w:eastAsia="Times New Roman" w:cstheme="minorHAnsi"/>
          <w:color w:val="201F1E"/>
          <w:lang w:eastAsia="en-GB"/>
        </w:rPr>
        <w:t xml:space="preserve">The rationale for Estyn extending their pause of inspections into the autumn term should apply to all schools and ITE partnerships: </w:t>
      </w:r>
      <w:r w:rsidRPr="009D476A">
        <w:rPr>
          <w:rFonts w:ascii="Calibri" w:eastAsia="Times New Roman" w:hAnsi="Calibri" w:cs="Calibri"/>
          <w:color w:val="201F1E"/>
          <w:lang w:eastAsia="en-GB"/>
        </w:rPr>
        <w:t>in our view, this is not the time for inspection.</w:t>
      </w:r>
    </w:p>
    <w:p w14:paraId="6588B605" w14:textId="77777777" w:rsidR="009D476A" w:rsidRPr="009D476A" w:rsidRDefault="009D476A" w:rsidP="009D476A">
      <w:pPr>
        <w:rPr>
          <w:rFonts w:ascii="Calibri" w:eastAsia="Times New Roman" w:hAnsi="Calibri" w:cs="Calibri"/>
          <w:color w:val="201F1E"/>
          <w:lang w:eastAsia="en-GB"/>
        </w:rPr>
      </w:pPr>
    </w:p>
    <w:p w14:paraId="48BBCEA9" w14:textId="77777777" w:rsidR="009D476A" w:rsidRPr="009D476A" w:rsidRDefault="009D476A" w:rsidP="009D476A">
      <w:pPr>
        <w:rPr>
          <w:rFonts w:ascii="Calibri" w:eastAsia="Times New Roman" w:hAnsi="Calibri" w:cs="Calibri"/>
          <w:color w:val="201F1E"/>
          <w:lang w:eastAsia="en-GB"/>
        </w:rPr>
      </w:pPr>
    </w:p>
    <w:p w14:paraId="1C2DF9C2" w14:textId="77777777" w:rsidR="009D476A" w:rsidRDefault="009D476A" w:rsidP="009D476A">
      <w:pPr>
        <w:rPr>
          <w:rFonts w:ascii="Calibri" w:eastAsia="Times New Roman" w:hAnsi="Calibri" w:cs="Calibri"/>
          <w:b/>
          <w:bCs/>
          <w:color w:val="201F1E"/>
          <w:lang w:eastAsia="en-GB"/>
        </w:rPr>
      </w:pPr>
      <w:r w:rsidRPr="009D476A">
        <w:rPr>
          <w:rFonts w:ascii="Calibri" w:eastAsia="Times New Roman" w:hAnsi="Calibri" w:cs="Calibri"/>
          <w:b/>
          <w:bCs/>
          <w:color w:val="201F1E"/>
          <w:lang w:eastAsia="en-GB"/>
        </w:rPr>
        <w:t>Standard v Compliance</w:t>
      </w:r>
    </w:p>
    <w:p w14:paraId="2A3AE12B" w14:textId="77777777" w:rsidR="009D476A" w:rsidRDefault="009D476A" w:rsidP="009D476A">
      <w:pPr>
        <w:rPr>
          <w:rFonts w:ascii="Calibri" w:eastAsia="Times New Roman" w:hAnsi="Calibri" w:cs="Calibri"/>
          <w:color w:val="201F1E"/>
          <w:lang w:eastAsia="en-GB"/>
        </w:rPr>
      </w:pPr>
      <w:r>
        <w:rPr>
          <w:rFonts w:ascii="Calibri" w:eastAsia="Times New Roman" w:hAnsi="Calibri" w:cs="Calibri"/>
          <w:color w:val="201F1E"/>
          <w:lang w:eastAsia="en-GB"/>
        </w:rPr>
        <w:t>F</w:t>
      </w:r>
      <w:r w:rsidRPr="009D476A">
        <w:rPr>
          <w:rFonts w:ascii="Calibri" w:eastAsia="Times New Roman" w:hAnsi="Calibri" w:cs="Calibri"/>
          <w:color w:val="201F1E"/>
          <w:lang w:eastAsia="en-GB"/>
        </w:rPr>
        <w:t xml:space="preserve">rom the documentation shared, the requirements of the different bodies overlap and whilst Estyn should be broadly concerned with standards, and the EWC with compliance – this is not clear in the processes. For example, the EWC documentation refers to development and continuous improvement of ITE programmes (standards), whilst Estyn refer to the accreditation criteria (compliance).  </w:t>
      </w:r>
    </w:p>
    <w:p w14:paraId="4D35CD11" w14:textId="77777777" w:rsidR="009D476A" w:rsidRDefault="009D476A" w:rsidP="009D476A">
      <w:pPr>
        <w:rPr>
          <w:rFonts w:ascii="Calibri" w:eastAsia="Times New Roman" w:hAnsi="Calibri" w:cs="Calibri"/>
          <w:color w:val="201F1E"/>
          <w:lang w:eastAsia="en-GB"/>
        </w:rPr>
      </w:pPr>
    </w:p>
    <w:p w14:paraId="045C1D24" w14:textId="2408D55A" w:rsidR="009D476A" w:rsidRDefault="009D476A" w:rsidP="009D476A">
      <w:pPr>
        <w:rPr>
          <w:rFonts w:ascii="Calibri" w:eastAsia="Times New Roman" w:hAnsi="Calibri" w:cs="Calibri"/>
          <w:color w:val="201F1E"/>
          <w:lang w:eastAsia="en-GB"/>
        </w:rPr>
      </w:pPr>
      <w:r w:rsidRPr="009D476A">
        <w:rPr>
          <w:rFonts w:ascii="Calibri" w:eastAsia="Times New Roman" w:hAnsi="Calibri" w:cs="Calibri"/>
          <w:color w:val="201F1E"/>
          <w:lang w:eastAsia="en-GB"/>
        </w:rPr>
        <w:t xml:space="preserve">Furthermore, the language and tone detailed in the approaches are different with the EWC document reflecting a more collaborative and supportive philosophy.  A helpful way to address this might be to identify the functions that each organisation are </w:t>
      </w:r>
      <w:r w:rsidRPr="009D476A">
        <w:rPr>
          <w:rFonts w:ascii="Calibri" w:eastAsia="Times New Roman" w:hAnsi="Calibri" w:cs="Calibri"/>
          <w:i/>
          <w:color w:val="201F1E"/>
          <w:lang w:eastAsia="en-GB"/>
        </w:rPr>
        <w:t xml:space="preserve">required </w:t>
      </w:r>
      <w:r w:rsidRPr="009D476A">
        <w:rPr>
          <w:rFonts w:ascii="Calibri" w:eastAsia="Times New Roman" w:hAnsi="Calibri" w:cs="Calibri"/>
          <w:color w:val="201F1E"/>
          <w:lang w:eastAsia="en-GB"/>
        </w:rPr>
        <w:t xml:space="preserve">(as opposed to permitted) to perform under legislation and take that as the starting point for review. Where overlaps still exist, agreement could be negotiated about the sharing of information, and the scope for one organisation to piggy-back on the work of the other in order to fulfil its legislative functions. </w:t>
      </w:r>
    </w:p>
    <w:p w14:paraId="01ED9ED0" w14:textId="13F23F1F" w:rsidR="009D476A" w:rsidRDefault="009D476A" w:rsidP="009D476A">
      <w:pPr>
        <w:rPr>
          <w:rFonts w:ascii="Calibri" w:eastAsia="Times New Roman" w:hAnsi="Calibri" w:cs="Calibri"/>
          <w:color w:val="201F1E"/>
          <w:lang w:eastAsia="en-GB"/>
        </w:rPr>
      </w:pPr>
    </w:p>
    <w:p w14:paraId="4F6C4C86" w14:textId="7273933F" w:rsidR="009D476A" w:rsidRPr="009D476A" w:rsidRDefault="009D476A" w:rsidP="009D476A">
      <w:pPr>
        <w:rPr>
          <w:rFonts w:ascii="Calibri" w:eastAsia="Times New Roman" w:hAnsi="Calibri" w:cs="Calibri"/>
          <w:b/>
          <w:bCs/>
          <w:color w:val="201F1E"/>
          <w:lang w:eastAsia="en-GB"/>
        </w:rPr>
      </w:pPr>
      <w:r>
        <w:rPr>
          <w:rFonts w:ascii="Calibri" w:eastAsia="Times New Roman" w:hAnsi="Calibri" w:cs="Calibri"/>
          <w:color w:val="201F1E"/>
          <w:lang w:eastAsia="en-GB"/>
        </w:rPr>
        <w:t xml:space="preserve">In order to support the work towards the single system, USCET have requested a comparative document in which distinct roles and responsibilities </w:t>
      </w:r>
      <w:r w:rsidR="00FA7413">
        <w:rPr>
          <w:rFonts w:ascii="Calibri" w:eastAsia="Times New Roman" w:hAnsi="Calibri" w:cs="Calibri"/>
          <w:color w:val="201F1E"/>
          <w:lang w:eastAsia="en-GB"/>
        </w:rPr>
        <w:t>are</w:t>
      </w:r>
      <w:r>
        <w:rPr>
          <w:rFonts w:ascii="Calibri" w:eastAsia="Times New Roman" w:hAnsi="Calibri" w:cs="Calibri"/>
          <w:color w:val="201F1E"/>
          <w:lang w:eastAsia="en-GB"/>
        </w:rPr>
        <w:t xml:space="preserve"> made clear.</w:t>
      </w:r>
    </w:p>
    <w:p w14:paraId="2F8AE712" w14:textId="77777777" w:rsidR="009D476A" w:rsidRPr="009D476A" w:rsidRDefault="009D476A" w:rsidP="009D476A">
      <w:pPr>
        <w:pStyle w:val="ListParagraph"/>
        <w:ind w:left="360"/>
        <w:rPr>
          <w:rFonts w:ascii="Calibri" w:eastAsia="Times New Roman" w:hAnsi="Calibri" w:cs="Calibri"/>
          <w:b/>
          <w:bCs/>
          <w:color w:val="201F1E"/>
          <w:sz w:val="24"/>
          <w:szCs w:val="24"/>
          <w:lang w:eastAsia="en-GB"/>
        </w:rPr>
      </w:pPr>
    </w:p>
    <w:p w14:paraId="29659CD9" w14:textId="77777777" w:rsidR="009D476A" w:rsidRDefault="009D476A" w:rsidP="009D476A">
      <w:pPr>
        <w:rPr>
          <w:rFonts w:eastAsia="Times New Roman" w:cstheme="minorHAnsi"/>
          <w:b/>
          <w:bCs/>
          <w:color w:val="201F1E"/>
          <w:lang w:eastAsia="en-GB"/>
        </w:rPr>
      </w:pPr>
      <w:r w:rsidRPr="009D476A">
        <w:rPr>
          <w:rFonts w:eastAsia="Times New Roman" w:cstheme="minorHAnsi"/>
          <w:b/>
          <w:bCs/>
          <w:color w:val="201F1E"/>
          <w:lang w:eastAsia="en-GB"/>
        </w:rPr>
        <w:t>Knowledge Exchange</w:t>
      </w:r>
    </w:p>
    <w:p w14:paraId="114C8245" w14:textId="77777777" w:rsidR="009D476A" w:rsidRDefault="009D476A" w:rsidP="009D476A">
      <w:pPr>
        <w:rPr>
          <w:rFonts w:eastAsia="Times New Roman" w:cstheme="minorHAnsi"/>
          <w:color w:val="201F1E"/>
          <w:lang w:eastAsia="en-GB"/>
        </w:rPr>
      </w:pPr>
      <w:r>
        <w:rPr>
          <w:rFonts w:eastAsia="Times New Roman" w:cstheme="minorHAnsi"/>
          <w:color w:val="201F1E"/>
          <w:lang w:eastAsia="en-GB"/>
        </w:rPr>
        <w:t>T</w:t>
      </w:r>
      <w:r w:rsidRPr="009D476A">
        <w:rPr>
          <w:rFonts w:eastAsia="Times New Roman" w:cstheme="minorHAnsi"/>
          <w:color w:val="201F1E"/>
          <w:lang w:eastAsia="en-GB"/>
        </w:rPr>
        <w:t xml:space="preserve">here is a significant risk of knowledge being exchanged between EWC and Estyn. For example, an EWC member will be present at the Estyn inspection feedback sessions and will refer to the latest Estyn reports, and accreditation outcomes and documentation will be sent by the EWC to Estyn.  </w:t>
      </w:r>
    </w:p>
    <w:p w14:paraId="6FEB18EE" w14:textId="77777777" w:rsidR="009D476A" w:rsidRDefault="009D476A" w:rsidP="009D476A">
      <w:pPr>
        <w:rPr>
          <w:rFonts w:eastAsia="Times New Roman" w:cstheme="minorHAnsi"/>
          <w:color w:val="201F1E"/>
          <w:lang w:eastAsia="en-GB"/>
        </w:rPr>
      </w:pPr>
    </w:p>
    <w:p w14:paraId="7ECF7594" w14:textId="4B04ECBE" w:rsidR="009D476A" w:rsidRPr="009D476A" w:rsidRDefault="009D476A" w:rsidP="009D476A">
      <w:pPr>
        <w:rPr>
          <w:rFonts w:eastAsia="Times New Roman" w:cstheme="minorHAnsi"/>
          <w:color w:val="201F1E"/>
          <w:lang w:eastAsia="en-GB"/>
        </w:rPr>
      </w:pPr>
      <w:r w:rsidRPr="009D476A">
        <w:rPr>
          <w:rFonts w:eastAsia="Times New Roman" w:cstheme="minorHAnsi"/>
          <w:color w:val="201F1E"/>
          <w:lang w:eastAsia="en-GB"/>
        </w:rPr>
        <w:t xml:space="preserve">USCET would like to know how this exchange of knowledge will inform the judgements of each organisation. A single process would </w:t>
      </w:r>
      <w:r>
        <w:rPr>
          <w:rFonts w:eastAsia="Times New Roman" w:cstheme="minorHAnsi"/>
          <w:color w:val="201F1E"/>
          <w:lang w:eastAsia="en-GB"/>
        </w:rPr>
        <w:t xml:space="preserve">help </w:t>
      </w:r>
      <w:r w:rsidRPr="009D476A">
        <w:rPr>
          <w:rFonts w:eastAsia="Times New Roman" w:cstheme="minorHAnsi"/>
          <w:color w:val="201F1E"/>
          <w:lang w:eastAsia="en-GB"/>
        </w:rPr>
        <w:t xml:space="preserve">to maintain objectivity and avoid the potentially damaging situation of each organisation </w:t>
      </w:r>
      <w:r>
        <w:rPr>
          <w:rFonts w:eastAsia="Times New Roman" w:cstheme="minorHAnsi"/>
          <w:color w:val="201F1E"/>
          <w:lang w:eastAsia="en-GB"/>
        </w:rPr>
        <w:t>reaching</w:t>
      </w:r>
      <w:r w:rsidRPr="009D476A">
        <w:rPr>
          <w:rFonts w:eastAsia="Times New Roman" w:cstheme="minorHAnsi"/>
          <w:color w:val="201F1E"/>
          <w:lang w:eastAsia="en-GB"/>
        </w:rPr>
        <w:t xml:space="preserve"> conflicting judgements.</w:t>
      </w:r>
    </w:p>
    <w:p w14:paraId="77DE9903" w14:textId="77777777" w:rsidR="009D476A" w:rsidRPr="009D476A" w:rsidRDefault="009D476A" w:rsidP="009D476A">
      <w:pPr>
        <w:rPr>
          <w:rFonts w:eastAsia="Times New Roman" w:cstheme="minorHAnsi"/>
          <w:color w:val="201F1E"/>
          <w:sz w:val="28"/>
          <w:szCs w:val="28"/>
          <w:lang w:eastAsia="en-GB"/>
        </w:rPr>
      </w:pPr>
    </w:p>
    <w:p w14:paraId="2AD94688" w14:textId="77777777" w:rsidR="009D476A" w:rsidRDefault="009D476A" w:rsidP="009D476A">
      <w:pPr>
        <w:rPr>
          <w:rFonts w:eastAsia="Times New Roman" w:cstheme="minorHAnsi"/>
          <w:color w:val="201F1E"/>
          <w:lang w:eastAsia="en-GB"/>
        </w:rPr>
      </w:pPr>
      <w:r w:rsidRPr="009D476A">
        <w:rPr>
          <w:rFonts w:eastAsia="Times New Roman" w:cstheme="minorHAnsi"/>
          <w:b/>
          <w:bCs/>
          <w:color w:val="201F1E"/>
          <w:lang w:eastAsia="en-GB"/>
        </w:rPr>
        <w:t>Sustainability</w:t>
      </w:r>
    </w:p>
    <w:p w14:paraId="79318C69" w14:textId="311F9355" w:rsidR="009D476A" w:rsidRDefault="009D476A" w:rsidP="009D476A">
      <w:pPr>
        <w:rPr>
          <w:rFonts w:eastAsia="Times New Roman" w:cstheme="minorHAnsi"/>
          <w:color w:val="201F1E"/>
          <w:lang w:eastAsia="en-GB"/>
        </w:rPr>
      </w:pPr>
      <w:r w:rsidRPr="009D476A">
        <w:rPr>
          <w:rFonts w:eastAsia="Times New Roman" w:cstheme="minorHAnsi"/>
          <w:color w:val="201F1E"/>
          <w:lang w:eastAsia="en-GB"/>
        </w:rPr>
        <w:t xml:space="preserve"> Going forward, the sustainability of school and partnership inspection/monitoring should be carefully considered as we move towards a new professionalism and away from performativity cultures. At all costs, th</w:t>
      </w:r>
      <w:r>
        <w:rPr>
          <w:rFonts w:eastAsia="Times New Roman" w:cstheme="minorHAnsi"/>
          <w:color w:val="201F1E"/>
          <w:lang w:eastAsia="en-GB"/>
        </w:rPr>
        <w:t>e</w:t>
      </w:r>
      <w:r w:rsidRPr="009D476A">
        <w:rPr>
          <w:rFonts w:eastAsia="Times New Roman" w:cstheme="minorHAnsi"/>
          <w:color w:val="201F1E"/>
          <w:lang w:eastAsia="en-GB"/>
        </w:rPr>
        <w:t xml:space="preserve"> risk of schools being inspected twice in one year ( as </w:t>
      </w:r>
      <w:r>
        <w:rPr>
          <w:rFonts w:eastAsia="Times New Roman" w:cstheme="minorHAnsi"/>
          <w:color w:val="201F1E"/>
          <w:lang w:eastAsia="en-GB"/>
        </w:rPr>
        <w:t xml:space="preserve">part of </w:t>
      </w:r>
      <w:r w:rsidRPr="009D476A">
        <w:rPr>
          <w:rFonts w:eastAsia="Times New Roman" w:cstheme="minorHAnsi"/>
          <w:color w:val="201F1E"/>
          <w:lang w:eastAsia="en-GB"/>
        </w:rPr>
        <w:t>an ITE inspection and as a school inspection) should be removed.</w:t>
      </w:r>
    </w:p>
    <w:p w14:paraId="219EC14F" w14:textId="77777777" w:rsidR="009D476A" w:rsidRPr="009D476A" w:rsidRDefault="009D476A" w:rsidP="009D476A">
      <w:pPr>
        <w:rPr>
          <w:rFonts w:eastAsia="Times New Roman" w:cstheme="minorHAnsi"/>
          <w:color w:val="201F1E"/>
          <w:lang w:eastAsia="en-GB"/>
        </w:rPr>
      </w:pPr>
    </w:p>
    <w:p w14:paraId="31A0F7CF" w14:textId="50854421" w:rsidR="009D476A" w:rsidRDefault="009D476A" w:rsidP="009D476A">
      <w:pPr>
        <w:rPr>
          <w:rFonts w:eastAsia="Times New Roman" w:cstheme="minorHAnsi"/>
          <w:color w:val="201F1E"/>
          <w:lang w:eastAsia="en-GB"/>
        </w:rPr>
      </w:pPr>
      <w:r>
        <w:rPr>
          <w:rFonts w:eastAsia="Times New Roman" w:cstheme="minorHAnsi"/>
          <w:color w:val="201F1E"/>
          <w:lang w:eastAsia="en-GB"/>
        </w:rPr>
        <w:t>In order to demonstrate an holistic view, r</w:t>
      </w:r>
      <w:r w:rsidRPr="009D476A">
        <w:rPr>
          <w:rFonts w:eastAsia="Times New Roman" w:cstheme="minorHAnsi"/>
          <w:color w:val="201F1E"/>
          <w:lang w:eastAsia="en-GB"/>
        </w:rPr>
        <w:t xml:space="preserve">eference should also be made to university processes for measuring quality including QAA visits and faculty reviews. </w:t>
      </w:r>
    </w:p>
    <w:p w14:paraId="239395B5" w14:textId="6FE313EC" w:rsidR="00C12BCA" w:rsidRDefault="00C12BCA" w:rsidP="009D476A">
      <w:pPr>
        <w:rPr>
          <w:rFonts w:eastAsia="Times New Roman" w:cstheme="minorHAnsi"/>
          <w:color w:val="201F1E"/>
          <w:lang w:eastAsia="en-GB"/>
        </w:rPr>
      </w:pPr>
    </w:p>
    <w:p w14:paraId="75803666" w14:textId="52B3D606" w:rsidR="00C12BCA" w:rsidRDefault="00C12BCA" w:rsidP="009D476A">
      <w:pPr>
        <w:rPr>
          <w:rFonts w:eastAsia="Times New Roman" w:cstheme="minorHAnsi"/>
          <w:color w:val="201F1E"/>
          <w:lang w:eastAsia="en-GB"/>
        </w:rPr>
      </w:pPr>
    </w:p>
    <w:p w14:paraId="32684665" w14:textId="77777777" w:rsidR="009D476A" w:rsidRDefault="009D476A" w:rsidP="009D476A">
      <w:pPr>
        <w:rPr>
          <w:rFonts w:eastAsia="Times New Roman" w:cstheme="minorHAnsi"/>
          <w:b/>
          <w:bCs/>
          <w:color w:val="0B0C0C"/>
          <w:shd w:val="clear" w:color="auto" w:fill="FFFFFF"/>
          <w:lang w:eastAsia="en-GB"/>
        </w:rPr>
      </w:pPr>
      <w:r w:rsidRPr="009D476A">
        <w:rPr>
          <w:rFonts w:eastAsia="Times New Roman" w:cstheme="minorHAnsi"/>
          <w:b/>
          <w:bCs/>
          <w:color w:val="0B0C0C"/>
          <w:shd w:val="clear" w:color="auto" w:fill="FFFFFF"/>
          <w:lang w:eastAsia="en-GB"/>
        </w:rPr>
        <w:t>Length of Inspection</w:t>
      </w:r>
    </w:p>
    <w:p w14:paraId="12D84EB0" w14:textId="1DBC0129" w:rsidR="009D476A" w:rsidRPr="009D476A" w:rsidRDefault="009D476A" w:rsidP="009D476A">
      <w:pPr>
        <w:rPr>
          <w:rFonts w:eastAsia="Times New Roman" w:cstheme="minorHAnsi"/>
          <w:i/>
          <w:iCs/>
          <w:color w:val="201F1E"/>
          <w:lang w:eastAsia="en-GB"/>
        </w:rPr>
      </w:pPr>
      <w:r w:rsidRPr="009D476A">
        <w:rPr>
          <w:rFonts w:eastAsia="Times New Roman" w:cstheme="minorHAnsi"/>
          <w:color w:val="0B0C0C"/>
          <w:shd w:val="clear" w:color="auto" w:fill="FFFFFF"/>
          <w:lang w:eastAsia="en-GB"/>
        </w:rPr>
        <w:t xml:space="preserve">The extended period of the Estyn inspection (approximately 20 days within one academic year) is unreasonable and will have the unintended consequence of limiting opportunities for peer inspectors to gain experience. </w:t>
      </w:r>
    </w:p>
    <w:p w14:paraId="68F1E936" w14:textId="46584829" w:rsidR="00F160D9" w:rsidRDefault="00F160D9" w:rsidP="009D476A">
      <w:pPr>
        <w:pStyle w:val="ListParagraph"/>
        <w:rPr>
          <w:rFonts w:eastAsia="Times New Roman" w:cstheme="minorHAnsi"/>
          <w:color w:val="201F1E"/>
          <w:sz w:val="28"/>
          <w:szCs w:val="28"/>
          <w:lang w:eastAsia="en-GB"/>
        </w:rPr>
      </w:pPr>
    </w:p>
    <w:p w14:paraId="43D52ADB" w14:textId="63D9E4DB" w:rsidR="00F160D9" w:rsidRDefault="00F160D9" w:rsidP="009D476A">
      <w:pPr>
        <w:pStyle w:val="ListParagraph"/>
        <w:rPr>
          <w:rFonts w:eastAsia="Times New Roman" w:cstheme="minorHAnsi"/>
          <w:color w:val="201F1E"/>
          <w:sz w:val="28"/>
          <w:szCs w:val="28"/>
          <w:lang w:eastAsia="en-GB"/>
        </w:rPr>
      </w:pPr>
    </w:p>
    <w:p w14:paraId="392D8278" w14:textId="5E22E09B" w:rsidR="00F160D9" w:rsidRPr="00D20B97" w:rsidRDefault="00D20B97" w:rsidP="00F160D9">
      <w:pPr>
        <w:pStyle w:val="ListParagraph"/>
        <w:ind w:left="0"/>
        <w:rPr>
          <w:rFonts w:eastAsia="Times New Roman" w:cstheme="minorHAnsi"/>
          <w:color w:val="201F1E"/>
          <w:lang w:eastAsia="en-GB"/>
        </w:rPr>
      </w:pPr>
      <w:r w:rsidRPr="00D20B97">
        <w:rPr>
          <w:rFonts w:eastAsia="Times New Roman" w:cstheme="minorHAnsi"/>
          <w:color w:val="201F1E"/>
          <w:sz w:val="24"/>
          <w:szCs w:val="24"/>
          <w:lang w:eastAsia="en-GB"/>
        </w:rPr>
        <w:t xml:space="preserve">To conclude, USCET </w:t>
      </w:r>
      <w:r w:rsidR="00C105E7">
        <w:rPr>
          <w:rFonts w:eastAsia="Times New Roman" w:cstheme="minorHAnsi"/>
          <w:color w:val="201F1E"/>
          <w:sz w:val="24"/>
          <w:szCs w:val="24"/>
          <w:lang w:eastAsia="en-GB"/>
        </w:rPr>
        <w:t>remains open and committed to any dialogue or collaboration that would help move forward the single process of accountability an</w:t>
      </w:r>
      <w:r w:rsidR="009C4778">
        <w:rPr>
          <w:rFonts w:eastAsia="Times New Roman" w:cstheme="minorHAnsi"/>
          <w:color w:val="201F1E"/>
          <w:sz w:val="24"/>
          <w:szCs w:val="24"/>
          <w:lang w:eastAsia="en-GB"/>
        </w:rPr>
        <w:t>d</w:t>
      </w:r>
      <w:r w:rsidR="00C105E7">
        <w:rPr>
          <w:rFonts w:eastAsia="Times New Roman" w:cstheme="minorHAnsi"/>
          <w:color w:val="201F1E"/>
          <w:sz w:val="24"/>
          <w:szCs w:val="24"/>
          <w:lang w:eastAsia="en-GB"/>
        </w:rPr>
        <w:t xml:space="preserve"> monitoring</w:t>
      </w:r>
      <w:r w:rsidR="009C4778">
        <w:rPr>
          <w:rFonts w:eastAsia="Times New Roman" w:cstheme="minorHAnsi"/>
          <w:color w:val="201F1E"/>
          <w:sz w:val="24"/>
          <w:szCs w:val="24"/>
          <w:lang w:eastAsia="en-GB"/>
        </w:rPr>
        <w:t>.</w:t>
      </w:r>
    </w:p>
    <w:p w14:paraId="0E410E65" w14:textId="77777777" w:rsidR="009D476A" w:rsidRPr="009D476A" w:rsidRDefault="009D476A" w:rsidP="009D476A">
      <w:pPr>
        <w:rPr>
          <w:rFonts w:cstheme="minorHAnsi"/>
          <w:b/>
          <w:bCs/>
        </w:rPr>
      </w:pPr>
    </w:p>
    <w:p w14:paraId="3FAC8D30" w14:textId="77777777" w:rsidR="009D476A" w:rsidRPr="009D476A" w:rsidRDefault="009D476A">
      <w:pPr>
        <w:rPr>
          <w:sz w:val="28"/>
          <w:szCs w:val="28"/>
        </w:rPr>
      </w:pPr>
    </w:p>
    <w:sectPr w:rsidR="009D476A" w:rsidRPr="009D476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5B29B" w14:textId="77777777" w:rsidR="000A0149" w:rsidRDefault="000A0149" w:rsidP="009D476A">
      <w:r>
        <w:separator/>
      </w:r>
    </w:p>
  </w:endnote>
  <w:endnote w:type="continuationSeparator" w:id="0">
    <w:p w14:paraId="30FE6A54" w14:textId="77777777" w:rsidR="000A0149" w:rsidRDefault="000A0149" w:rsidP="009D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88673"/>
      <w:docPartObj>
        <w:docPartGallery w:val="Page Numbers (Bottom of Page)"/>
        <w:docPartUnique/>
      </w:docPartObj>
    </w:sdtPr>
    <w:sdtEndPr>
      <w:rPr>
        <w:noProof/>
      </w:rPr>
    </w:sdtEndPr>
    <w:sdtContent>
      <w:p w14:paraId="135CC36B" w14:textId="6760B66E" w:rsidR="00B729FE" w:rsidRDefault="00B729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D86D20" w14:textId="77777777" w:rsidR="009D476A" w:rsidRDefault="009D4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A238B" w14:textId="77777777" w:rsidR="000A0149" w:rsidRDefault="000A0149" w:rsidP="009D476A">
      <w:r>
        <w:separator/>
      </w:r>
    </w:p>
  </w:footnote>
  <w:footnote w:type="continuationSeparator" w:id="0">
    <w:p w14:paraId="1CEDF734" w14:textId="77777777" w:rsidR="000A0149" w:rsidRDefault="000A0149" w:rsidP="009D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142429"/>
      <w:docPartObj>
        <w:docPartGallery w:val="Watermarks"/>
        <w:docPartUnique/>
      </w:docPartObj>
    </w:sdtPr>
    <w:sdtEndPr/>
    <w:sdtContent>
      <w:p w14:paraId="11F2A5D2" w14:textId="62993279" w:rsidR="009D476A" w:rsidRDefault="000A0149">
        <w:pPr>
          <w:pStyle w:val="Header"/>
        </w:pPr>
        <w:r>
          <w:rPr>
            <w:noProof/>
          </w:rPr>
          <w:pict w14:anchorId="3EE91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2C2"/>
    <w:multiLevelType w:val="hybridMultilevel"/>
    <w:tmpl w:val="1B7CA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D13A9E"/>
    <w:multiLevelType w:val="hybridMultilevel"/>
    <w:tmpl w:val="09008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6A"/>
    <w:rsid w:val="00050FFC"/>
    <w:rsid w:val="000A0149"/>
    <w:rsid w:val="001B2708"/>
    <w:rsid w:val="0035743E"/>
    <w:rsid w:val="00383BC4"/>
    <w:rsid w:val="003C341B"/>
    <w:rsid w:val="0077784D"/>
    <w:rsid w:val="00821380"/>
    <w:rsid w:val="00843C22"/>
    <w:rsid w:val="009C4778"/>
    <w:rsid w:val="009D476A"/>
    <w:rsid w:val="00A90298"/>
    <w:rsid w:val="00B729FE"/>
    <w:rsid w:val="00C105E7"/>
    <w:rsid w:val="00C11038"/>
    <w:rsid w:val="00C12BCA"/>
    <w:rsid w:val="00C90BC3"/>
    <w:rsid w:val="00D20B97"/>
    <w:rsid w:val="00D87986"/>
    <w:rsid w:val="00E04EFC"/>
    <w:rsid w:val="00E20B64"/>
    <w:rsid w:val="00F160D9"/>
    <w:rsid w:val="00FA74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5CD1A6"/>
  <w15:chartTrackingRefBased/>
  <w15:docId w15:val="{17748A96-5E2A-4771-B0E9-048DED66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76A"/>
    <w:pPr>
      <w:spacing w:after="0" w:line="240"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76A"/>
    <w:pPr>
      <w:spacing w:after="160" w:line="259" w:lineRule="auto"/>
      <w:ind w:left="720"/>
      <w:contextualSpacing/>
    </w:pPr>
    <w:rPr>
      <w:sz w:val="22"/>
      <w:szCs w:val="22"/>
    </w:rPr>
  </w:style>
  <w:style w:type="paragraph" w:styleId="Header">
    <w:name w:val="header"/>
    <w:basedOn w:val="Normal"/>
    <w:link w:val="HeaderChar"/>
    <w:uiPriority w:val="99"/>
    <w:unhideWhenUsed/>
    <w:rsid w:val="009D476A"/>
    <w:pPr>
      <w:tabs>
        <w:tab w:val="center" w:pos="4513"/>
        <w:tab w:val="right" w:pos="9026"/>
      </w:tabs>
    </w:pPr>
  </w:style>
  <w:style w:type="character" w:customStyle="1" w:styleId="HeaderChar">
    <w:name w:val="Header Char"/>
    <w:basedOn w:val="DefaultParagraphFont"/>
    <w:link w:val="Header"/>
    <w:uiPriority w:val="99"/>
    <w:rsid w:val="009D476A"/>
    <w:rPr>
      <w:rFonts w:eastAsiaTheme="minorHAnsi"/>
      <w:sz w:val="24"/>
      <w:szCs w:val="24"/>
      <w:lang w:eastAsia="en-US"/>
    </w:rPr>
  </w:style>
  <w:style w:type="paragraph" w:styleId="Footer">
    <w:name w:val="footer"/>
    <w:basedOn w:val="Normal"/>
    <w:link w:val="FooterChar"/>
    <w:uiPriority w:val="99"/>
    <w:unhideWhenUsed/>
    <w:rsid w:val="009D476A"/>
    <w:pPr>
      <w:tabs>
        <w:tab w:val="center" w:pos="4513"/>
        <w:tab w:val="right" w:pos="9026"/>
      </w:tabs>
    </w:pPr>
  </w:style>
  <w:style w:type="character" w:customStyle="1" w:styleId="FooterChar">
    <w:name w:val="Footer Char"/>
    <w:basedOn w:val="DefaultParagraphFont"/>
    <w:link w:val="Footer"/>
    <w:uiPriority w:val="99"/>
    <w:rsid w:val="009D476A"/>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1D0A2-898C-4552-A68B-0BE2A22C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Sharpling</dc:creator>
  <cp:keywords/>
  <dc:description/>
  <cp:lastModifiedBy>Lisa Taylor</cp:lastModifiedBy>
  <cp:revision>4</cp:revision>
  <dcterms:created xsi:type="dcterms:W3CDTF">2021-10-25T11:01:00Z</dcterms:created>
  <dcterms:modified xsi:type="dcterms:W3CDTF">2021-10-25T11:02:00Z</dcterms:modified>
</cp:coreProperties>
</file>