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2"/>
          <w:szCs w:val="22"/>
        </w:rPr>
      </w:pPr>
      <w:r w:rsidRPr="002D7586">
        <w:rPr>
          <w:rFonts w:ascii="Arial" w:hAnsi="Arial" w:cs="Arial"/>
          <w:b/>
          <w:sz w:val="22"/>
          <w:szCs w:val="22"/>
        </w:rPr>
        <w:t>Agenda for the on-line meeting of the UCET</w:t>
      </w:r>
      <w:r w:rsidR="003278C8">
        <w:rPr>
          <w:rFonts w:ascii="Arial" w:hAnsi="Arial" w:cs="Arial"/>
          <w:b/>
          <w:sz w:val="22"/>
          <w:szCs w:val="22"/>
        </w:rPr>
        <w:t xml:space="preserve"> Management Forum to</w:t>
      </w:r>
      <w:r w:rsidRPr="002D7586">
        <w:rPr>
          <w:rFonts w:ascii="Arial" w:hAnsi="Arial" w:cs="Arial"/>
          <w:b/>
          <w:sz w:val="22"/>
          <w:szCs w:val="22"/>
        </w:rPr>
        <w:t xml:space="preserve"> take place at </w:t>
      </w:r>
      <w:r w:rsidR="00F74699" w:rsidRPr="002D7586">
        <w:rPr>
          <w:rFonts w:ascii="Arial" w:hAnsi="Arial" w:cs="Arial"/>
          <w:b/>
          <w:sz w:val="22"/>
          <w:szCs w:val="22"/>
          <w:u w:val="single"/>
        </w:rPr>
        <w:t>1p</w:t>
      </w:r>
      <w:r w:rsidRPr="002D7586">
        <w:rPr>
          <w:rFonts w:ascii="Arial" w:hAnsi="Arial" w:cs="Arial"/>
          <w:b/>
          <w:sz w:val="22"/>
          <w:szCs w:val="22"/>
          <w:u w:val="single"/>
        </w:rPr>
        <w:t xml:space="preserve">m </w:t>
      </w:r>
      <w:r w:rsidRPr="002D7586">
        <w:rPr>
          <w:rFonts w:ascii="Arial" w:hAnsi="Arial" w:cs="Arial"/>
          <w:b/>
          <w:sz w:val="22"/>
          <w:szCs w:val="22"/>
        </w:rPr>
        <w:t xml:space="preserve">on </w:t>
      </w:r>
      <w:r w:rsidR="00696462" w:rsidRPr="002D7586">
        <w:rPr>
          <w:rFonts w:ascii="Arial" w:hAnsi="Arial" w:cs="Arial"/>
          <w:b/>
          <w:sz w:val="22"/>
          <w:szCs w:val="22"/>
        </w:rPr>
        <w:t xml:space="preserve">Tuesday </w:t>
      </w:r>
      <w:r w:rsidR="003278C8">
        <w:rPr>
          <w:rFonts w:ascii="Arial" w:hAnsi="Arial" w:cs="Arial"/>
          <w:b/>
          <w:sz w:val="22"/>
          <w:szCs w:val="22"/>
        </w:rPr>
        <w:t>30</w:t>
      </w:r>
      <w:r w:rsidR="002D7586" w:rsidRPr="002D7586">
        <w:rPr>
          <w:rFonts w:ascii="Arial" w:hAnsi="Arial" w:cs="Arial"/>
          <w:b/>
          <w:sz w:val="22"/>
          <w:szCs w:val="22"/>
        </w:rPr>
        <w:t xml:space="preserve"> November </w:t>
      </w:r>
      <w:r w:rsidR="0009468F" w:rsidRPr="002D7586">
        <w:rPr>
          <w:rFonts w:ascii="Arial" w:hAnsi="Arial" w:cs="Arial"/>
          <w:b/>
          <w:sz w:val="22"/>
          <w:szCs w:val="22"/>
        </w:rPr>
        <w:t>2021</w:t>
      </w:r>
      <w:r w:rsidR="002D7586" w:rsidRPr="002D7586">
        <w:rPr>
          <w:rFonts w:ascii="Arial" w:hAnsi="Arial" w:cs="Arial"/>
          <w:b/>
          <w:sz w:val="22"/>
          <w:szCs w:val="22"/>
        </w:rPr>
        <w:t xml:space="preserve">. </w:t>
      </w:r>
      <w:r w:rsidR="00306B3A" w:rsidRPr="002D7586">
        <w:rPr>
          <w:rFonts w:ascii="Arial" w:hAnsi="Arial" w:cs="Arial"/>
          <w:b/>
          <w:sz w:val="22"/>
          <w:szCs w:val="22"/>
        </w:rPr>
        <w:t xml:space="preserve">There </w:t>
      </w:r>
      <w:r w:rsidR="00AB6A74" w:rsidRPr="002D7586">
        <w:rPr>
          <w:rFonts w:ascii="Arial" w:hAnsi="Arial" w:cs="Arial"/>
          <w:b/>
          <w:sz w:val="22"/>
          <w:szCs w:val="22"/>
        </w:rPr>
        <w:t xml:space="preserve">will be a morning symposium beginning at </w:t>
      </w:r>
      <w:r w:rsidR="00AB6A74" w:rsidRPr="002D7586">
        <w:rPr>
          <w:rFonts w:ascii="Arial" w:hAnsi="Arial" w:cs="Arial"/>
          <w:b/>
          <w:sz w:val="22"/>
          <w:szCs w:val="22"/>
          <w:u w:val="single"/>
        </w:rPr>
        <w:t>10.30am</w:t>
      </w:r>
      <w:r w:rsidR="00AB6A74" w:rsidRPr="002D7586">
        <w:rPr>
          <w:rFonts w:ascii="Arial" w:hAnsi="Arial" w:cs="Arial"/>
          <w:b/>
          <w:sz w:val="22"/>
          <w:szCs w:val="22"/>
        </w:rPr>
        <w:t xml:space="preserve"> on:</w:t>
      </w:r>
      <w:r w:rsidR="002D7586" w:rsidRPr="002D7586">
        <w:rPr>
          <w:rFonts w:ascii="Arial" w:hAnsi="Arial" w:cs="Arial"/>
          <w:b/>
          <w:sz w:val="22"/>
          <w:szCs w:val="22"/>
        </w:rPr>
        <w:t xml:space="preserve"> OfSTED ITE inspections and </w:t>
      </w:r>
      <w:r w:rsidR="003278C8">
        <w:rPr>
          <w:rFonts w:ascii="Arial" w:hAnsi="Arial" w:cs="Arial"/>
          <w:b/>
          <w:sz w:val="22"/>
          <w:szCs w:val="22"/>
        </w:rPr>
        <w:t xml:space="preserve">the provision of mentor support and paired placements. </w:t>
      </w:r>
      <w:r w:rsidR="005043D2">
        <w:rPr>
          <w:rFonts w:ascii="Arial" w:hAnsi="Arial" w:cs="Arial"/>
          <w:b/>
          <w:sz w:val="22"/>
          <w:szCs w:val="22"/>
        </w:rPr>
        <w:t xml:space="preserve">Speakers will include Alex Ford and Ed Podesta (LTU) and Diana Bannister (Wolverhampton). </w:t>
      </w:r>
      <w:r w:rsidR="003278C8">
        <w:rPr>
          <w:rFonts w:ascii="Arial" w:hAnsi="Arial" w:cs="Arial"/>
          <w:b/>
          <w:sz w:val="22"/>
          <w:szCs w:val="22"/>
        </w:rPr>
        <w:t xml:space="preserve">If you would like to attend but have not registered, please contact </w:t>
      </w:r>
      <w:hyperlink r:id="rId10" w:history="1">
        <w:r w:rsidR="003278C8" w:rsidRPr="005A2B1A">
          <w:rPr>
            <w:rStyle w:val="Hyperlink"/>
            <w:rFonts w:ascii="Arial" w:hAnsi="Arial" w:cs="Arial"/>
            <w:b/>
            <w:sz w:val="22"/>
            <w:szCs w:val="22"/>
          </w:rPr>
          <w:t>M.Fincher@ucet.ac.uk</w:t>
        </w:r>
      </w:hyperlink>
      <w:r w:rsidR="003278C8">
        <w:rPr>
          <w:rFonts w:ascii="Arial" w:hAnsi="Arial" w:cs="Arial"/>
          <w:b/>
          <w:sz w:val="22"/>
          <w:szCs w:val="22"/>
        </w:rPr>
        <w:t xml:space="preserve">. </w:t>
      </w:r>
    </w:p>
    <w:p w:rsidR="003B28C0" w:rsidRPr="008F0B6B" w:rsidRDefault="003B28C0" w:rsidP="00B6401E">
      <w:pPr>
        <w:jc w:val="center"/>
        <w:rPr>
          <w:rFonts w:ascii="Arial" w:hAnsi="Arial" w:cs="Arial"/>
          <w:b/>
          <w:sz w:val="22"/>
          <w:szCs w:val="22"/>
        </w:rPr>
      </w:pPr>
    </w:p>
    <w:p w:rsidR="004F3187" w:rsidRPr="008F0B6B" w:rsidRDefault="0009468F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8F0B6B">
        <w:rPr>
          <w:rFonts w:ascii="Arial" w:hAnsi="Arial" w:cs="Arial"/>
          <w:b/>
        </w:rPr>
        <w:t xml:space="preserve">Welcome &amp; </w:t>
      </w:r>
      <w:r w:rsidR="004F3187" w:rsidRPr="008F0B6B">
        <w:rPr>
          <w:rFonts w:ascii="Arial" w:hAnsi="Arial" w:cs="Arial"/>
          <w:b/>
        </w:rPr>
        <w:t>introductio</w:t>
      </w:r>
      <w:r w:rsidRPr="008F0B6B">
        <w:rPr>
          <w:rFonts w:ascii="Arial" w:hAnsi="Arial" w:cs="Arial"/>
          <w:b/>
        </w:rPr>
        <w:t>ns</w:t>
      </w:r>
    </w:p>
    <w:p w:rsidR="004F3187" w:rsidRPr="008F0B6B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8F0B6B">
        <w:rPr>
          <w:rFonts w:ascii="Arial" w:hAnsi="Arial" w:cs="Arial"/>
          <w:b/>
        </w:rPr>
        <w:t xml:space="preserve">Minutes of the previous meeting </w:t>
      </w:r>
      <w:bookmarkStart w:id="0" w:name="_GoBack"/>
      <w:bookmarkEnd w:id="0"/>
    </w:p>
    <w:p w:rsidR="004F3187" w:rsidRPr="008F0B6B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8F0B6B">
        <w:rPr>
          <w:rFonts w:ascii="Arial" w:hAnsi="Arial" w:cs="Arial"/>
          <w:b/>
        </w:rPr>
        <w:t>Matters arising</w:t>
      </w:r>
    </w:p>
    <w:p w:rsidR="003259EF" w:rsidRDefault="00990E62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8F0B6B">
        <w:rPr>
          <w:rFonts w:ascii="Arial" w:hAnsi="Arial" w:cs="Arial"/>
          <w:b/>
        </w:rPr>
        <w:t>UCET updates</w:t>
      </w:r>
    </w:p>
    <w:p w:rsidR="003278C8" w:rsidRDefault="003278C8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Regulatory issues:</w:t>
      </w:r>
    </w:p>
    <w:p w:rsidR="002D7586" w:rsidRDefault="003278C8" w:rsidP="00370469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OfSTED inspections</w:t>
      </w:r>
    </w:p>
    <w:p w:rsidR="008D02B4" w:rsidRDefault="008D02B4" w:rsidP="00370469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UCET FOI requests</w:t>
      </w:r>
    </w:p>
    <w:p w:rsidR="003278C8" w:rsidRDefault="003278C8" w:rsidP="00370469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Updated ITE requirements</w:t>
      </w:r>
    </w:p>
    <w:p w:rsidR="00C703B4" w:rsidRDefault="00C703B4" w:rsidP="00370469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regulatory issues</w:t>
      </w:r>
    </w:p>
    <w:p w:rsidR="00370469" w:rsidRDefault="00370469" w:rsidP="002D7586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8F0B6B">
        <w:rPr>
          <w:rFonts w:ascii="Arial" w:hAnsi="Arial" w:cs="Arial"/>
          <w:b/>
        </w:rPr>
        <w:t>Topics for future symposia</w:t>
      </w:r>
    </w:p>
    <w:p w:rsidR="00696462" w:rsidRDefault="00696462" w:rsidP="002D7586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2D7586">
        <w:rPr>
          <w:rFonts w:ascii="Arial" w:hAnsi="Arial" w:cs="Arial"/>
          <w:b/>
        </w:rPr>
        <w:t>ITE Market Review</w:t>
      </w:r>
      <w:r w:rsidR="002D7586">
        <w:rPr>
          <w:rFonts w:ascii="Arial" w:hAnsi="Arial" w:cs="Arial"/>
          <w:b/>
        </w:rPr>
        <w:t>:</w:t>
      </w:r>
    </w:p>
    <w:p w:rsidR="0010694E" w:rsidRDefault="0010694E" w:rsidP="002D7586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Supporting members diversifying from QTS provision: the role of UCET</w:t>
      </w:r>
    </w:p>
    <w:p w:rsidR="002D7586" w:rsidRDefault="002D7586" w:rsidP="002D7586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Working with teaching school hubs</w:t>
      </w:r>
    </w:p>
    <w:p w:rsidR="002D7586" w:rsidRDefault="002D7586" w:rsidP="002D7586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Recruitment to ITE </w:t>
      </w:r>
      <w:r w:rsidR="00B944A7">
        <w:rPr>
          <w:rFonts w:ascii="Arial" w:hAnsi="Arial" w:cs="Arial"/>
          <w:b/>
        </w:rPr>
        <w:t xml:space="preserve">and </w:t>
      </w:r>
      <w:r>
        <w:rPr>
          <w:rFonts w:ascii="Arial" w:hAnsi="Arial" w:cs="Arial"/>
          <w:b/>
        </w:rPr>
        <w:t>placement availability</w:t>
      </w:r>
    </w:p>
    <w:p w:rsidR="002D7586" w:rsidRDefault="002D7586" w:rsidP="00696462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iQTS</w:t>
      </w:r>
    </w:p>
    <w:p w:rsidR="00DE6FC0" w:rsidRDefault="00DE6FC0" w:rsidP="00696462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Post-compulsory issues</w:t>
      </w:r>
    </w:p>
    <w:p w:rsidR="002D7586" w:rsidRDefault="002D7586" w:rsidP="00696462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Structure and format of meetings from January 2021</w:t>
      </w:r>
    </w:p>
    <w:p w:rsidR="00370469" w:rsidRPr="008F0B6B" w:rsidRDefault="00370469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8F0B6B">
        <w:rPr>
          <w:rFonts w:ascii="Arial" w:hAnsi="Arial" w:cs="Arial"/>
          <w:b/>
        </w:rPr>
        <w:t>Items for information:</w:t>
      </w:r>
    </w:p>
    <w:p w:rsidR="00370469" w:rsidRDefault="00370469" w:rsidP="00370469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 w:rsidRPr="008F0B6B">
        <w:rPr>
          <w:rFonts w:ascii="Arial" w:hAnsi="Arial" w:cs="Arial"/>
          <w:b/>
        </w:rPr>
        <w:t xml:space="preserve">UCET </w:t>
      </w:r>
      <w:r w:rsidR="002D7586">
        <w:rPr>
          <w:rFonts w:ascii="Arial" w:hAnsi="Arial" w:cs="Arial"/>
          <w:b/>
        </w:rPr>
        <w:t xml:space="preserve">summer </w:t>
      </w:r>
      <w:r w:rsidRPr="008F0B6B">
        <w:rPr>
          <w:rFonts w:ascii="Arial" w:hAnsi="Arial" w:cs="Arial"/>
          <w:b/>
        </w:rPr>
        <w:t>newsletter</w:t>
      </w:r>
    </w:p>
    <w:p w:rsidR="003259EF" w:rsidRPr="008F0B6B" w:rsidRDefault="003259EF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8F0B6B">
        <w:rPr>
          <w:rFonts w:ascii="Arial" w:hAnsi="Arial" w:cs="Arial"/>
          <w:b/>
        </w:rPr>
        <w:t>Any other business</w:t>
      </w:r>
    </w:p>
    <w:p w:rsidR="00306B3A" w:rsidRPr="002D7586" w:rsidRDefault="00306B3A" w:rsidP="003F253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2D7586">
        <w:rPr>
          <w:rFonts w:ascii="Arial" w:hAnsi="Arial" w:cs="Arial"/>
          <w:b/>
        </w:rPr>
        <w:t xml:space="preserve">Date of next meeting: </w:t>
      </w:r>
      <w:r w:rsidR="0009468F" w:rsidRPr="002D7586">
        <w:rPr>
          <w:rFonts w:ascii="Arial" w:hAnsi="Arial" w:cs="Arial"/>
          <w:b/>
        </w:rPr>
        <w:t>Tuesday</w:t>
      </w:r>
      <w:r w:rsidR="003278C8">
        <w:rPr>
          <w:rFonts w:ascii="Arial" w:hAnsi="Arial" w:cs="Arial"/>
          <w:b/>
        </w:rPr>
        <w:t>15</w:t>
      </w:r>
      <w:r w:rsidR="002D7586" w:rsidRPr="002D7586">
        <w:rPr>
          <w:rFonts w:ascii="Arial" w:hAnsi="Arial" w:cs="Arial"/>
          <w:b/>
        </w:rPr>
        <w:t xml:space="preserve"> March </w:t>
      </w:r>
      <w:r w:rsidRPr="002D7586">
        <w:rPr>
          <w:rFonts w:ascii="Arial" w:hAnsi="Arial" w:cs="Arial"/>
          <w:b/>
        </w:rPr>
        <w:t>202</w:t>
      </w:r>
      <w:r w:rsidR="002D7586" w:rsidRPr="002D7586">
        <w:rPr>
          <w:rFonts w:ascii="Arial" w:hAnsi="Arial" w:cs="Arial"/>
          <w:b/>
        </w:rPr>
        <w:t>2</w:t>
      </w:r>
      <w:r w:rsidR="002D7586">
        <w:rPr>
          <w:rFonts w:ascii="Arial" w:hAnsi="Arial" w:cs="Arial"/>
          <w:b/>
        </w:rPr>
        <w:br/>
      </w:r>
    </w:p>
    <w:p w:rsidR="00306B3A" w:rsidRPr="008F0B6B" w:rsidRDefault="00306B3A" w:rsidP="00306B3A">
      <w:pPr>
        <w:rPr>
          <w:rFonts w:ascii="Arial" w:hAnsi="Arial" w:cs="Arial"/>
          <w:sz w:val="22"/>
          <w:szCs w:val="22"/>
          <w:u w:val="single"/>
        </w:rPr>
      </w:pPr>
      <w:r w:rsidRPr="008F0B6B">
        <w:rPr>
          <w:rFonts w:ascii="Arial" w:hAnsi="Arial" w:cs="Arial"/>
          <w:sz w:val="22"/>
          <w:szCs w:val="22"/>
          <w:u w:val="single"/>
        </w:rPr>
        <w:t>Supporting papers</w:t>
      </w:r>
    </w:p>
    <w:p w:rsidR="00306B3A" w:rsidRPr="008F0B6B" w:rsidRDefault="00306B3A" w:rsidP="00306B3A">
      <w:pPr>
        <w:rPr>
          <w:rFonts w:ascii="Arial" w:hAnsi="Arial" w:cs="Arial"/>
          <w:sz w:val="22"/>
          <w:szCs w:val="22"/>
          <w:u w:val="single"/>
        </w:rPr>
      </w:pPr>
    </w:p>
    <w:p w:rsidR="00306B3A" w:rsidRDefault="00306B3A" w:rsidP="00306B3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8F0B6B">
        <w:rPr>
          <w:rFonts w:ascii="Arial" w:hAnsi="Arial" w:cs="Arial"/>
        </w:rPr>
        <w:t xml:space="preserve">Note of </w:t>
      </w:r>
      <w:r w:rsidR="00067ED3">
        <w:rPr>
          <w:rFonts w:ascii="Arial" w:hAnsi="Arial" w:cs="Arial"/>
        </w:rPr>
        <w:t>12</w:t>
      </w:r>
      <w:r w:rsidR="001E4D1C">
        <w:rPr>
          <w:rFonts w:ascii="Arial" w:hAnsi="Arial" w:cs="Arial"/>
        </w:rPr>
        <w:t xml:space="preserve"> June</w:t>
      </w:r>
      <w:r w:rsidR="003C3D62">
        <w:rPr>
          <w:rFonts w:ascii="Arial" w:hAnsi="Arial" w:cs="Arial"/>
        </w:rPr>
        <w:t xml:space="preserve"> </w:t>
      </w:r>
      <w:r w:rsidR="005518C1" w:rsidRPr="008F0B6B">
        <w:rPr>
          <w:rFonts w:ascii="Arial" w:hAnsi="Arial" w:cs="Arial"/>
        </w:rPr>
        <w:t xml:space="preserve">2021 </w:t>
      </w:r>
      <w:r w:rsidRPr="008F0B6B">
        <w:rPr>
          <w:rFonts w:ascii="Arial" w:hAnsi="Arial" w:cs="Arial"/>
        </w:rPr>
        <w:t>meeting</w:t>
      </w:r>
    </w:p>
    <w:p w:rsidR="008D02B4" w:rsidRDefault="00942DBF" w:rsidP="00306B3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UCE</w:t>
      </w:r>
      <w:r w:rsidR="008D02B4">
        <w:rPr>
          <w:rFonts w:ascii="Arial" w:hAnsi="Arial" w:cs="Arial"/>
        </w:rPr>
        <w:t>T briefing paper on OfSTED inspections</w:t>
      </w:r>
    </w:p>
    <w:p w:rsidR="008D02B4" w:rsidRDefault="008D02B4" w:rsidP="00306B3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UCET FOI requests to OfSTED</w:t>
      </w:r>
    </w:p>
    <w:p w:rsidR="005518C1" w:rsidRDefault="001E4D1C" w:rsidP="00306B3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Updated ITE criteria for 2021/22</w:t>
      </w:r>
    </w:p>
    <w:p w:rsidR="00A85D35" w:rsidRDefault="00067ED3" w:rsidP="00306B3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UCE</w:t>
      </w:r>
      <w:r w:rsidR="001E4D1C">
        <w:rPr>
          <w:rFonts w:ascii="Arial" w:hAnsi="Arial" w:cs="Arial"/>
        </w:rPr>
        <w:t>T response to Market Review consultation</w:t>
      </w:r>
    </w:p>
    <w:p w:rsidR="001E4D1C" w:rsidRDefault="001E4D1C" w:rsidP="00306B3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UC</w:t>
      </w:r>
      <w:r w:rsidR="00067ED3">
        <w:rPr>
          <w:rFonts w:ascii="Arial" w:hAnsi="Arial" w:cs="Arial"/>
        </w:rPr>
        <w:t>E</w:t>
      </w:r>
      <w:r>
        <w:rPr>
          <w:rFonts w:ascii="Arial" w:hAnsi="Arial" w:cs="Arial"/>
        </w:rPr>
        <w:t>T MR press notice</w:t>
      </w:r>
    </w:p>
    <w:p w:rsidR="00A85D35" w:rsidRDefault="001E4D1C" w:rsidP="00306B3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Correspondence with ministers</w:t>
      </w:r>
    </w:p>
    <w:p w:rsidR="005F7CA3" w:rsidRDefault="005F7CA3" w:rsidP="005F7CA3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Letter to sector from new Minister, 27 September</w:t>
      </w:r>
    </w:p>
    <w:p w:rsidR="00B944A7" w:rsidRDefault="00B944A7" w:rsidP="005F7CA3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ITE financial incentives information</w:t>
      </w:r>
    </w:p>
    <w:p w:rsidR="003C3D62" w:rsidRPr="008F0B6B" w:rsidRDefault="003C3D62" w:rsidP="00306B3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DfE </w:t>
      </w:r>
      <w:r w:rsidR="001E4D1C">
        <w:rPr>
          <w:rFonts w:ascii="Arial" w:hAnsi="Arial" w:cs="Arial"/>
        </w:rPr>
        <w:t>iQTS consultation report</w:t>
      </w:r>
    </w:p>
    <w:p w:rsidR="00E7792F" w:rsidRPr="008F0B6B" w:rsidRDefault="00E7792F" w:rsidP="00306B3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8F0B6B">
        <w:rPr>
          <w:rFonts w:ascii="Arial" w:hAnsi="Arial" w:cs="Arial"/>
        </w:rPr>
        <w:t xml:space="preserve">UCET </w:t>
      </w:r>
      <w:r w:rsidR="001E4D1C">
        <w:rPr>
          <w:rFonts w:ascii="Arial" w:hAnsi="Arial" w:cs="Arial"/>
        </w:rPr>
        <w:t>summer</w:t>
      </w:r>
      <w:r w:rsidR="003C3D62">
        <w:rPr>
          <w:rFonts w:ascii="Arial" w:hAnsi="Arial" w:cs="Arial"/>
        </w:rPr>
        <w:t xml:space="preserve"> newsletter </w:t>
      </w:r>
      <w:r w:rsidR="005518C1" w:rsidRPr="008F0B6B">
        <w:rPr>
          <w:rFonts w:ascii="Arial" w:hAnsi="Arial" w:cs="Arial"/>
        </w:rPr>
        <w:t xml:space="preserve"> </w:t>
      </w:r>
    </w:p>
    <w:sectPr w:rsidR="00E7792F" w:rsidRPr="008F0B6B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8E" w:rsidRDefault="00AB568E">
      <w:r>
        <w:separator/>
      </w:r>
    </w:p>
  </w:endnote>
  <w:endnote w:type="continuationSeparator" w:id="0">
    <w:p w:rsidR="00AB568E" w:rsidRDefault="00A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8E" w:rsidRDefault="00AB568E">
      <w:r>
        <w:separator/>
      </w:r>
    </w:p>
  </w:footnote>
  <w:footnote w:type="continuationSeparator" w:id="0">
    <w:p w:rsidR="00AB568E" w:rsidRDefault="00A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266D7D"/>
    <w:multiLevelType w:val="hybridMultilevel"/>
    <w:tmpl w:val="5DDC58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5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07A7D"/>
    <w:multiLevelType w:val="hybridMultilevel"/>
    <w:tmpl w:val="23607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7"/>
  </w:num>
  <w:num w:numId="4">
    <w:abstractNumId w:val="2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2"/>
  </w:num>
  <w:num w:numId="16">
    <w:abstractNumId w:val="9"/>
  </w:num>
  <w:num w:numId="17">
    <w:abstractNumId w:val="0"/>
  </w:num>
  <w:num w:numId="18">
    <w:abstractNumId w:val="20"/>
  </w:num>
  <w:num w:numId="19">
    <w:abstractNumId w:val="28"/>
  </w:num>
  <w:num w:numId="20">
    <w:abstractNumId w:val="15"/>
  </w:num>
  <w:num w:numId="21">
    <w:abstractNumId w:val="18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5"/>
  </w:num>
  <w:num w:numId="26">
    <w:abstractNumId w:val="29"/>
  </w:num>
  <w:num w:numId="27">
    <w:abstractNumId w:val="30"/>
  </w:num>
  <w:num w:numId="28">
    <w:abstractNumId w:val="24"/>
  </w:num>
  <w:num w:numId="29">
    <w:abstractNumId w:val="1"/>
  </w:num>
  <w:num w:numId="30">
    <w:abstractNumId w:val="13"/>
  </w:num>
  <w:num w:numId="31">
    <w:abstractNumId w:val="3"/>
  </w:num>
  <w:num w:numId="32">
    <w:abstractNumId w:val="1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6AC1"/>
    <w:rsid w:val="00056340"/>
    <w:rsid w:val="00056A7A"/>
    <w:rsid w:val="000663F4"/>
    <w:rsid w:val="00067ED3"/>
    <w:rsid w:val="000757B0"/>
    <w:rsid w:val="00075E3A"/>
    <w:rsid w:val="000842BA"/>
    <w:rsid w:val="000871B3"/>
    <w:rsid w:val="0009468F"/>
    <w:rsid w:val="000D4063"/>
    <w:rsid w:val="000E0804"/>
    <w:rsid w:val="000F1ECB"/>
    <w:rsid w:val="000F241C"/>
    <w:rsid w:val="000F5164"/>
    <w:rsid w:val="00100462"/>
    <w:rsid w:val="00102097"/>
    <w:rsid w:val="0010694E"/>
    <w:rsid w:val="00107BD2"/>
    <w:rsid w:val="00125B89"/>
    <w:rsid w:val="00137534"/>
    <w:rsid w:val="00163B98"/>
    <w:rsid w:val="00187C64"/>
    <w:rsid w:val="00195401"/>
    <w:rsid w:val="0019783B"/>
    <w:rsid w:val="001A13A8"/>
    <w:rsid w:val="001A3DB2"/>
    <w:rsid w:val="001A58F8"/>
    <w:rsid w:val="001E4D1C"/>
    <w:rsid w:val="00216AA5"/>
    <w:rsid w:val="00263612"/>
    <w:rsid w:val="002B18AF"/>
    <w:rsid w:val="002D28F2"/>
    <w:rsid w:val="002D7586"/>
    <w:rsid w:val="003030E1"/>
    <w:rsid w:val="00306B3A"/>
    <w:rsid w:val="003259EF"/>
    <w:rsid w:val="003278C8"/>
    <w:rsid w:val="003353A2"/>
    <w:rsid w:val="00335CAC"/>
    <w:rsid w:val="003701A6"/>
    <w:rsid w:val="00370469"/>
    <w:rsid w:val="00373FDA"/>
    <w:rsid w:val="00375BBC"/>
    <w:rsid w:val="00397A7E"/>
    <w:rsid w:val="003A07AB"/>
    <w:rsid w:val="003B28C0"/>
    <w:rsid w:val="003C3D62"/>
    <w:rsid w:val="003E399F"/>
    <w:rsid w:val="003E6C64"/>
    <w:rsid w:val="004020BF"/>
    <w:rsid w:val="00404BC9"/>
    <w:rsid w:val="00406E3F"/>
    <w:rsid w:val="00411DCD"/>
    <w:rsid w:val="00436C4E"/>
    <w:rsid w:val="00460ADD"/>
    <w:rsid w:val="00473DD9"/>
    <w:rsid w:val="00474907"/>
    <w:rsid w:val="00485073"/>
    <w:rsid w:val="004861B9"/>
    <w:rsid w:val="004919CD"/>
    <w:rsid w:val="004C357B"/>
    <w:rsid w:val="004C6301"/>
    <w:rsid w:val="004C7FCF"/>
    <w:rsid w:val="004D22CE"/>
    <w:rsid w:val="004D4E96"/>
    <w:rsid w:val="004E424F"/>
    <w:rsid w:val="004F3187"/>
    <w:rsid w:val="004F61D2"/>
    <w:rsid w:val="005043D2"/>
    <w:rsid w:val="0050585C"/>
    <w:rsid w:val="00510CD9"/>
    <w:rsid w:val="005241D6"/>
    <w:rsid w:val="005518C1"/>
    <w:rsid w:val="00587A14"/>
    <w:rsid w:val="005C4EBF"/>
    <w:rsid w:val="005F6649"/>
    <w:rsid w:val="005F7CA3"/>
    <w:rsid w:val="006036A6"/>
    <w:rsid w:val="00663708"/>
    <w:rsid w:val="006713D1"/>
    <w:rsid w:val="006821DB"/>
    <w:rsid w:val="0069062B"/>
    <w:rsid w:val="00692AA1"/>
    <w:rsid w:val="00696462"/>
    <w:rsid w:val="00697ED9"/>
    <w:rsid w:val="006B16E8"/>
    <w:rsid w:val="006C1A63"/>
    <w:rsid w:val="006C7354"/>
    <w:rsid w:val="006F0BBA"/>
    <w:rsid w:val="006F3B08"/>
    <w:rsid w:val="0071182F"/>
    <w:rsid w:val="00715788"/>
    <w:rsid w:val="007248F3"/>
    <w:rsid w:val="0073319F"/>
    <w:rsid w:val="00736FAE"/>
    <w:rsid w:val="00763B78"/>
    <w:rsid w:val="00783030"/>
    <w:rsid w:val="0078342E"/>
    <w:rsid w:val="007A21CA"/>
    <w:rsid w:val="007B1F7F"/>
    <w:rsid w:val="007C6582"/>
    <w:rsid w:val="007C72AE"/>
    <w:rsid w:val="007D01A5"/>
    <w:rsid w:val="007D240E"/>
    <w:rsid w:val="007E53E4"/>
    <w:rsid w:val="007F7A39"/>
    <w:rsid w:val="00801AC2"/>
    <w:rsid w:val="008252AB"/>
    <w:rsid w:val="0086641B"/>
    <w:rsid w:val="008818D3"/>
    <w:rsid w:val="008A0A18"/>
    <w:rsid w:val="008C6B8E"/>
    <w:rsid w:val="008D02B4"/>
    <w:rsid w:val="008D05E6"/>
    <w:rsid w:val="008F0B6B"/>
    <w:rsid w:val="00900283"/>
    <w:rsid w:val="00904226"/>
    <w:rsid w:val="00920326"/>
    <w:rsid w:val="00942DBF"/>
    <w:rsid w:val="0095447C"/>
    <w:rsid w:val="00986160"/>
    <w:rsid w:val="00990379"/>
    <w:rsid w:val="00990E62"/>
    <w:rsid w:val="009927E3"/>
    <w:rsid w:val="009A0F68"/>
    <w:rsid w:val="009A77C6"/>
    <w:rsid w:val="009B4042"/>
    <w:rsid w:val="009C1E96"/>
    <w:rsid w:val="00A62726"/>
    <w:rsid w:val="00A65CFD"/>
    <w:rsid w:val="00A85D35"/>
    <w:rsid w:val="00A97D3F"/>
    <w:rsid w:val="00AA07DD"/>
    <w:rsid w:val="00AA3673"/>
    <w:rsid w:val="00AB568E"/>
    <w:rsid w:val="00AB6A74"/>
    <w:rsid w:val="00AD7290"/>
    <w:rsid w:val="00AE365F"/>
    <w:rsid w:val="00AE40D7"/>
    <w:rsid w:val="00AF7C09"/>
    <w:rsid w:val="00B6401E"/>
    <w:rsid w:val="00B65A82"/>
    <w:rsid w:val="00B73A50"/>
    <w:rsid w:val="00B80B29"/>
    <w:rsid w:val="00B93383"/>
    <w:rsid w:val="00B944A7"/>
    <w:rsid w:val="00BA540B"/>
    <w:rsid w:val="00BB0D72"/>
    <w:rsid w:val="00BB1276"/>
    <w:rsid w:val="00C0032E"/>
    <w:rsid w:val="00C02640"/>
    <w:rsid w:val="00C11178"/>
    <w:rsid w:val="00C23A79"/>
    <w:rsid w:val="00C27B2F"/>
    <w:rsid w:val="00C4023E"/>
    <w:rsid w:val="00C51AF9"/>
    <w:rsid w:val="00C54884"/>
    <w:rsid w:val="00C56C09"/>
    <w:rsid w:val="00C703B4"/>
    <w:rsid w:val="00C76BA5"/>
    <w:rsid w:val="00CA218C"/>
    <w:rsid w:val="00CB45A4"/>
    <w:rsid w:val="00CD5C9E"/>
    <w:rsid w:val="00CD6CDB"/>
    <w:rsid w:val="00CD6E6C"/>
    <w:rsid w:val="00CE3D94"/>
    <w:rsid w:val="00CF4AE3"/>
    <w:rsid w:val="00CF4EBB"/>
    <w:rsid w:val="00CF7835"/>
    <w:rsid w:val="00D006E8"/>
    <w:rsid w:val="00D01DF5"/>
    <w:rsid w:val="00D3599D"/>
    <w:rsid w:val="00D61F47"/>
    <w:rsid w:val="00D85225"/>
    <w:rsid w:val="00D91D76"/>
    <w:rsid w:val="00DA18ED"/>
    <w:rsid w:val="00DA549A"/>
    <w:rsid w:val="00DA6261"/>
    <w:rsid w:val="00DB1486"/>
    <w:rsid w:val="00DB47B9"/>
    <w:rsid w:val="00DC2807"/>
    <w:rsid w:val="00DE6FC0"/>
    <w:rsid w:val="00E04418"/>
    <w:rsid w:val="00E13FB2"/>
    <w:rsid w:val="00E265FE"/>
    <w:rsid w:val="00E27BA3"/>
    <w:rsid w:val="00E5585E"/>
    <w:rsid w:val="00E64ED8"/>
    <w:rsid w:val="00E772EE"/>
    <w:rsid w:val="00E7792F"/>
    <w:rsid w:val="00E807B1"/>
    <w:rsid w:val="00EE5B58"/>
    <w:rsid w:val="00EF3310"/>
    <w:rsid w:val="00F263AC"/>
    <w:rsid w:val="00F27355"/>
    <w:rsid w:val="00F325CB"/>
    <w:rsid w:val="00F32B1D"/>
    <w:rsid w:val="00F41BF4"/>
    <w:rsid w:val="00F6662E"/>
    <w:rsid w:val="00F738CB"/>
    <w:rsid w:val="00F74699"/>
    <w:rsid w:val="00F83A4C"/>
    <w:rsid w:val="00F92622"/>
    <w:rsid w:val="00FA6DB9"/>
    <w:rsid w:val="00FE6035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E6CBF8-7698-4762-865F-09DB679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.Fincher@ucet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5FE1D-A75A-41BE-82D1-19598C00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agendaMFNov2021</Template>
  <TotalTime>0</TotalTime>
  <Pages>1</Pages>
  <Words>225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2</cp:revision>
  <cp:lastPrinted>2021-10-21T09:32:00Z</cp:lastPrinted>
  <dcterms:created xsi:type="dcterms:W3CDTF">2021-10-21T09:33:00Z</dcterms:created>
  <dcterms:modified xsi:type="dcterms:W3CDTF">2021-10-21T09:33:00Z</dcterms:modified>
</cp:coreProperties>
</file>