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7604AC" w:rsidRDefault="0024763A" w:rsidP="006A0AC4">
      <w:pPr>
        <w:pStyle w:val="Title"/>
        <w:jc w:val="left"/>
        <w:rPr>
          <w:rFonts w:ascii="Antique Olive Roman" w:hAnsi="Antique Olive Roman" w:cs="Arial"/>
          <w:sz w:val="16"/>
          <w:szCs w:val="16"/>
          <w:u w:val="none"/>
        </w:rPr>
      </w:pPr>
      <w:bookmarkStart w:id="0" w:name="_GoBack"/>
      <w:bookmarkEnd w:id="0"/>
      <w:r>
        <w:rPr>
          <w:rFonts w:ascii="Antique Olive Roman" w:hAnsi="Antique Olive Roman" w:cs="Arial"/>
          <w:b w:val="0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Default="00AD2A76" w:rsidP="00AD2A76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 w:rsidRPr="00712D95">
        <w:rPr>
          <w:rFonts w:ascii="Antique Olive Roman" w:hAnsi="Antique Olive Roman" w:cs="Arial"/>
          <w:sz w:val="24"/>
          <w:szCs w:val="24"/>
          <w:u w:val="none"/>
        </w:rPr>
        <w:t xml:space="preserve">UCET ANNUAL CONFERENCE </w:t>
      </w:r>
    </w:p>
    <w:p w:rsidR="00AD2A76" w:rsidRPr="00A11E95" w:rsidRDefault="00D34F04" w:rsidP="00A11E95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>
        <w:rPr>
          <w:rFonts w:ascii="Antique Olive Roman" w:hAnsi="Antique Olive Roman" w:cs="Arial"/>
          <w:sz w:val="24"/>
          <w:szCs w:val="24"/>
          <w:u w:val="none"/>
        </w:rPr>
        <w:t xml:space="preserve">Tuesday 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>2</w:t>
      </w:r>
      <w:r w:rsidR="00A11E95" w:rsidRPr="00A11E95">
        <w:rPr>
          <w:rFonts w:ascii="Antique Olive Roman" w:hAnsi="Antique Olive Roman" w:cs="Arial"/>
          <w:sz w:val="24"/>
          <w:szCs w:val="24"/>
          <w:u w:val="none"/>
          <w:vertAlign w:val="superscript"/>
        </w:rPr>
        <w:t>nd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- </w:t>
      </w:r>
      <w:r w:rsidR="00FC77A2">
        <w:rPr>
          <w:rFonts w:ascii="Antique Olive Roman" w:hAnsi="Antique Olive Roman" w:cs="Arial"/>
          <w:sz w:val="24"/>
          <w:szCs w:val="24"/>
          <w:u w:val="none"/>
        </w:rPr>
        <w:t>Wednesday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>3</w:t>
      </w:r>
      <w:r w:rsidR="00A11E95" w:rsidRPr="00A11E95">
        <w:rPr>
          <w:rFonts w:ascii="Antique Olive Roman" w:hAnsi="Antique Olive Roman" w:cs="Arial"/>
          <w:sz w:val="24"/>
          <w:szCs w:val="24"/>
          <w:u w:val="none"/>
          <w:vertAlign w:val="superscript"/>
        </w:rPr>
        <w:t>rd</w:t>
      </w:r>
      <w:r w:rsidR="00A11E95">
        <w:rPr>
          <w:rFonts w:ascii="Antique Olive Roman" w:hAnsi="Antique Olive Roman" w:cs="Arial"/>
          <w:sz w:val="24"/>
          <w:szCs w:val="24"/>
          <w:u w:val="none"/>
        </w:rPr>
        <w:t xml:space="preserve">  November 2021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41"/>
        <w:gridCol w:w="9454"/>
      </w:tblGrid>
      <w:tr w:rsidR="00AD2A76" w:rsidRPr="00712D95" w:rsidTr="00126F08">
        <w:tc>
          <w:tcPr>
            <w:tcW w:w="11023" w:type="dxa"/>
            <w:gridSpan w:val="3"/>
            <w:tcBorders>
              <w:top w:val="nil"/>
            </w:tcBorders>
            <w:shd w:val="solid" w:color="548DD4" w:fill="auto"/>
          </w:tcPr>
          <w:p w:rsidR="00AD2A76" w:rsidRPr="00D76AEC" w:rsidRDefault="00FC77A2" w:rsidP="00D11367">
            <w:pPr>
              <w:pStyle w:val="Title"/>
              <w:rPr>
                <w:rFonts w:ascii="Arial Rounded MT Bold" w:hAnsi="Arial Rounded MT Bold" w:cs="Arial"/>
                <w:color w:val="FFFFFF"/>
                <w:u w:val="none"/>
              </w:rPr>
            </w:pPr>
            <w:r>
              <w:rPr>
                <w:rFonts w:ascii="Arial Rounded MT Bold" w:hAnsi="Arial Rounded MT Bold" w:cs="Arial"/>
                <w:color w:val="FFFFFF"/>
                <w:u w:val="none"/>
              </w:rPr>
              <w:t>Tuesday</w:t>
            </w:r>
            <w:r w:rsidR="008474CE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</w:t>
            </w:r>
            <w:r w:rsidR="00A11E95">
              <w:rPr>
                <w:rFonts w:ascii="Arial Rounded MT Bold" w:hAnsi="Arial Rounded MT Bold" w:cs="Arial"/>
                <w:color w:val="FFFFFF"/>
                <w:u w:val="none"/>
              </w:rPr>
              <w:t>2nd</w:t>
            </w:r>
            <w:r w:rsidR="00AD2A76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November</w:t>
            </w:r>
          </w:p>
        </w:tc>
      </w:tr>
      <w:tr w:rsidR="006E56DB" w:rsidRPr="006E56DB" w:rsidTr="00154D57">
        <w:tc>
          <w:tcPr>
            <w:tcW w:w="1569" w:type="dxa"/>
            <w:gridSpan w:val="2"/>
          </w:tcPr>
          <w:p w:rsidR="007C5E0F" w:rsidRPr="006E56DB" w:rsidRDefault="00154D57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10:00 – 10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:10</w:t>
            </w:r>
          </w:p>
        </w:tc>
        <w:tc>
          <w:tcPr>
            <w:tcW w:w="9454" w:type="dxa"/>
          </w:tcPr>
          <w:p w:rsidR="007C5E0F" w:rsidRPr="006E56DB" w:rsidRDefault="007C5E0F" w:rsidP="00B0428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F523D">
              <w:rPr>
                <w:b w:val="0"/>
                <w:u w:val="none"/>
              </w:rPr>
              <w:t>PLENARY: Welcome and Introduction –</w:t>
            </w:r>
            <w:r w:rsidR="00FF523D">
              <w:rPr>
                <w:b w:val="0"/>
                <w:u w:val="none"/>
              </w:rPr>
              <w:t xml:space="preserve"> </w:t>
            </w:r>
            <w:r w:rsidR="00B51169">
              <w:rPr>
                <w:b w:val="0"/>
                <w:u w:val="none"/>
              </w:rPr>
              <w:t xml:space="preserve">Kevin Mattinson, </w:t>
            </w:r>
            <w:r w:rsidRPr="00FF523D">
              <w:rPr>
                <w:b w:val="0"/>
                <w:u w:val="none"/>
              </w:rPr>
              <w:t>UCET Chair</w:t>
            </w:r>
          </w:p>
        </w:tc>
      </w:tr>
      <w:tr w:rsidR="006E56DB" w:rsidRPr="006E56DB" w:rsidTr="00154D57">
        <w:tc>
          <w:tcPr>
            <w:tcW w:w="1569" w:type="dxa"/>
            <w:gridSpan w:val="2"/>
            <w:tcBorders>
              <w:bottom w:val="single" w:sz="4" w:space="0" w:color="000000"/>
            </w:tcBorders>
          </w:tcPr>
          <w:p w:rsidR="007C5E0F" w:rsidRPr="006E56DB" w:rsidRDefault="00154D57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10:10 – 10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:55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</w:tcPr>
          <w:p w:rsidR="007C5E0F" w:rsidRPr="000215F8" w:rsidRDefault="00FF523D" w:rsidP="000215F8">
            <w:pPr>
              <w:pStyle w:val="Title"/>
              <w:jc w:val="left"/>
              <w:rPr>
                <w:rFonts w:ascii="Arial" w:hAnsi="Arial" w:cs="Arial"/>
                <w:b w:val="0"/>
                <w:u w:val="none"/>
              </w:rPr>
            </w:pPr>
            <w:r w:rsidRPr="000215F8">
              <w:rPr>
                <w:rFonts w:ascii="Arial" w:hAnsi="Arial" w:cs="Arial"/>
                <w:b w:val="0"/>
                <w:u w:val="none"/>
              </w:rPr>
              <w:t>KEYNOTE ADDRESS:</w:t>
            </w:r>
            <w:r w:rsidR="000215F8" w:rsidRPr="000215F8">
              <w:rPr>
                <w:rFonts w:ascii="Arial" w:hAnsi="Arial" w:cs="Arial"/>
                <w:b w:val="0"/>
                <w:u w:val="none"/>
              </w:rPr>
              <w:t xml:space="preserve"> The Making of Teachers: Researching the process of learning to teach in England - </w:t>
            </w:r>
            <w:r w:rsidRPr="000215F8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="00234EF7" w:rsidRPr="000215F8">
              <w:rPr>
                <w:rFonts w:ascii="Arial" w:hAnsi="Arial" w:cs="Arial"/>
                <w:b w:val="0"/>
                <w:u w:val="none"/>
              </w:rPr>
              <w:t>Sarah Steadman (</w:t>
            </w:r>
            <w:r w:rsidR="00154D57" w:rsidRPr="000215F8">
              <w:rPr>
                <w:rFonts w:ascii="Arial" w:hAnsi="Arial" w:cs="Arial"/>
                <w:b w:val="0"/>
                <w:u w:val="none"/>
              </w:rPr>
              <w:t>King’s College London</w:t>
            </w:r>
            <w:r w:rsidR="00234EF7" w:rsidRPr="000215F8">
              <w:rPr>
                <w:rFonts w:ascii="Arial" w:hAnsi="Arial" w:cs="Arial"/>
                <w:b w:val="0"/>
                <w:u w:val="none"/>
              </w:rPr>
              <w:t>)</w:t>
            </w:r>
          </w:p>
        </w:tc>
      </w:tr>
      <w:tr w:rsidR="006E56DB" w:rsidRPr="006E56DB" w:rsidTr="00154D57">
        <w:trPr>
          <w:trHeight w:val="192"/>
        </w:trPr>
        <w:tc>
          <w:tcPr>
            <w:tcW w:w="1569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6E56DB" w:rsidRDefault="00154D57" w:rsidP="009A42A4">
            <w:pPr>
              <w:pStyle w:val="Title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11:00 – 12</w:t>
            </w:r>
            <w:r w:rsidR="00066C95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00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6E56DB" w:rsidRDefault="00066C95" w:rsidP="008474CE">
            <w:pPr>
              <w:pStyle w:val="Title"/>
              <w:rPr>
                <w:rFonts w:ascii="Arial" w:hAnsi="Arial" w:cs="Arial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6E56DB" w:rsidTr="003A1D51">
        <w:trPr>
          <w:trHeight w:val="122"/>
        </w:trPr>
        <w:tc>
          <w:tcPr>
            <w:tcW w:w="728" w:type="dxa"/>
            <w:tcBorders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005E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</w:t>
            </w:r>
          </w:p>
        </w:tc>
        <w:tc>
          <w:tcPr>
            <w:tcW w:w="10295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4D1291" w:rsidRDefault="000F53E0" w:rsidP="000F53E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Aimee Quickfall (Bishop G): British Academy funded project on NQT well-being</w:t>
            </w:r>
          </w:p>
        </w:tc>
      </w:tr>
      <w:tr w:rsidR="006E56DB" w:rsidRPr="006E56DB" w:rsidTr="003A1D51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4D1291" w:rsidRDefault="000529DC" w:rsidP="00D048A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Deborah Roberts (Warwick): Embedding sustainable workload into a PGCE Programme</w:t>
            </w:r>
          </w:p>
        </w:tc>
      </w:tr>
      <w:tr w:rsidR="006E56DB" w:rsidRPr="006E56DB" w:rsidTr="00154D57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A3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C26AD1" w:rsidP="00C26AD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Vini Lander (Leeds Beckett), Pinky Jain (Leeds Beckett) and Catherine Lee (Anglia Ruskin)</w:t>
            </w:r>
            <w:r w:rsidR="00CF3864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Succeeding or Struggling with Equality in ITE?</w:t>
            </w:r>
          </w:p>
        </w:tc>
      </w:tr>
      <w:tr w:rsidR="006E56DB" w:rsidRPr="006E56DB" w:rsidTr="00154D57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A4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4D1291" w:rsidRDefault="00AC4198" w:rsidP="00AC419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Terry Russell &amp; Julie Grimshaw: OfSTED’s return to ITT inspections - the results and interpretations of the inspection framework so far and the implications for providers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E56DB" w:rsidRPr="006E56DB" w:rsidTr="00154D57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7C5E0F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A5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0F53E0" w:rsidP="00D7019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Pete Boyd (Cumbria): </w:t>
            </w:r>
            <w:r w:rsidR="00D7019B" w:rsidRPr="004D1291">
              <w:rPr>
                <w:rFonts w:ascii="Arial" w:hAnsi="Arial" w:cs="Arial"/>
                <w:sz w:val="20"/>
                <w:szCs w:val="20"/>
                <w:lang w:val="en-GB"/>
              </w:rPr>
              <w:t>Becoming a teacher educator: Supporting research-informed practice by teachers in the post-truth world</w:t>
            </w:r>
          </w:p>
        </w:tc>
      </w:tr>
      <w:tr w:rsidR="006E56DB" w:rsidRPr="006E56DB" w:rsidTr="00154D57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A6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4D1291" w:rsidRDefault="003307CF" w:rsidP="003307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</w:rPr>
              <w:t>Clare Lee and Dave Tyler (Open University in Wales</w:t>
            </w:r>
            <w:r w:rsidR="003F3414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): </w:t>
            </w:r>
            <w:r>
              <w:rPr>
                <w:rFonts w:eastAsia="Times New Roman"/>
                <w:color w:val="000000"/>
              </w:rPr>
              <w:t>PGCE Practice Tutors: preconceptions, perceptions and actuality</w:t>
            </w:r>
          </w:p>
        </w:tc>
      </w:tr>
      <w:tr w:rsidR="006E56DB" w:rsidRPr="006E56DB" w:rsidTr="00154D57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A7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EE4640" w:rsidP="000F53E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Jenny Murray (St Mary's University) and Marta Ortega Vega (Maudsley Learning, SLaM NHS Trust): </w:t>
            </w:r>
            <w:r w:rsidR="000F53E0" w:rsidRPr="004D1291">
              <w:rPr>
                <w:rFonts w:ascii="Arial" w:hAnsi="Arial" w:cs="Arial"/>
                <w:sz w:val="20"/>
                <w:szCs w:val="20"/>
                <w:lang w:val="en-GB"/>
              </w:rPr>
              <w:t>Care, Connect, Thrive - ITE and NHS experts working togethe</w:t>
            </w:r>
            <w:r w:rsidR="003F3414" w:rsidRPr="004D1291">
              <w:rPr>
                <w:rFonts w:ascii="Arial" w:hAnsi="Arial" w:cs="Arial"/>
                <w:sz w:val="20"/>
                <w:szCs w:val="20"/>
                <w:lang w:val="en-GB"/>
              </w:rPr>
              <w:t>r to support teacher wellbeing</w:t>
            </w:r>
          </w:p>
        </w:tc>
      </w:tr>
      <w:tr w:rsidR="006E56DB" w:rsidRPr="006E56DB" w:rsidTr="003A1D51">
        <w:trPr>
          <w:trHeight w:val="219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A8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4D1291" w:rsidRDefault="000F53E0" w:rsidP="005845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Trevor Mutton (Oxford): IBTE report</w:t>
            </w:r>
          </w:p>
        </w:tc>
      </w:tr>
      <w:tr w:rsidR="006E56DB" w:rsidRPr="006E56DB" w:rsidTr="00EE4640">
        <w:trPr>
          <w:trHeight w:val="340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4D1291" w:rsidRDefault="00955438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A9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4D1291" w:rsidRDefault="003E25B3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Thomas Donnai (</w:t>
            </w:r>
            <w:r w:rsidR="00E12B32" w:rsidRPr="004D1291">
              <w:rPr>
                <w:rFonts w:ascii="Arial" w:hAnsi="Arial" w:cs="Arial"/>
                <w:sz w:val="20"/>
                <w:szCs w:val="20"/>
                <w:lang w:val="en-GB"/>
              </w:rPr>
              <w:t>Manchester) and</w:t>
            </w:r>
            <w:r w:rsidR="00B37E6F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Jeff Evans (Liverpool J M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): Making LGBT+ History visible in school curricula: exploring the impact of collaboration between ITE providers, schools and experts in the field</w:t>
            </w:r>
          </w:p>
        </w:tc>
      </w:tr>
      <w:tr w:rsidR="00EE4640" w:rsidRPr="006E56DB" w:rsidTr="003A1D51">
        <w:trPr>
          <w:trHeight w:val="214"/>
        </w:trPr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4640" w:rsidRPr="004D1291" w:rsidRDefault="00EE4640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A10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E4640" w:rsidRPr="004D1291" w:rsidRDefault="00EE4640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Hannah Wilson (Diverse Educators): Creating Belonging for Early Career Teachers</w:t>
            </w:r>
          </w:p>
        </w:tc>
      </w:tr>
      <w:tr w:rsidR="004D1291" w:rsidRPr="006E56DB" w:rsidTr="004D1291">
        <w:trPr>
          <w:trHeight w:val="340"/>
        </w:trPr>
        <w:tc>
          <w:tcPr>
            <w:tcW w:w="728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4D1291" w:rsidRPr="004D1291" w:rsidRDefault="004D1291" w:rsidP="00AD2A76">
            <w:pPr>
              <w:pStyle w:val="Title"/>
              <w:rPr>
                <w:rFonts w:ascii="Arial" w:hAnsi="Arial" w:cs="Arial"/>
                <w:u w:val="none"/>
              </w:rPr>
            </w:pPr>
            <w:r w:rsidRPr="004D1291">
              <w:rPr>
                <w:rFonts w:ascii="Arial" w:hAnsi="Arial" w:cs="Arial"/>
                <w:u w:val="none"/>
              </w:rPr>
              <w:t>A11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4D1291" w:rsidRPr="004D1291" w:rsidRDefault="004D1291" w:rsidP="00E12B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</w:rPr>
              <w:t>Liz Hoult</w:t>
            </w:r>
            <w:r>
              <w:rPr>
                <w:rFonts w:ascii="Arial" w:hAnsi="Arial" w:cs="Arial"/>
                <w:sz w:val="20"/>
                <w:szCs w:val="20"/>
              </w:rPr>
              <w:t xml:space="preserve"> (Northumbria)</w:t>
            </w:r>
            <w:r w:rsidRPr="004D1291">
              <w:rPr>
                <w:rFonts w:ascii="Arial" w:hAnsi="Arial" w:cs="Arial"/>
                <w:sz w:val="20"/>
                <w:szCs w:val="20"/>
              </w:rPr>
              <w:t>, Judy Durrant</w:t>
            </w:r>
            <w:r>
              <w:rPr>
                <w:rFonts w:ascii="Arial" w:hAnsi="Arial" w:cs="Arial"/>
                <w:sz w:val="20"/>
                <w:szCs w:val="20"/>
              </w:rPr>
              <w:t xml:space="preserve"> (CCCU)</w:t>
            </w:r>
            <w:r w:rsidRPr="004D1291">
              <w:rPr>
                <w:rFonts w:ascii="Arial" w:hAnsi="Arial" w:cs="Arial"/>
                <w:sz w:val="20"/>
                <w:szCs w:val="20"/>
              </w:rPr>
              <w:t>, Christine Lewis</w:t>
            </w:r>
            <w:r>
              <w:rPr>
                <w:rFonts w:ascii="Arial" w:hAnsi="Arial" w:cs="Arial"/>
                <w:sz w:val="20"/>
                <w:szCs w:val="20"/>
              </w:rPr>
              <w:t xml:space="preserve"> (Edge Hill)</w:t>
            </w:r>
            <w:r w:rsidRPr="004D1291">
              <w:rPr>
                <w:rFonts w:ascii="Arial" w:hAnsi="Arial" w:cs="Arial"/>
                <w:sz w:val="20"/>
                <w:szCs w:val="20"/>
              </w:rPr>
              <w:t>, Richard Holme</w:t>
            </w:r>
            <w:r>
              <w:rPr>
                <w:rFonts w:ascii="Arial" w:hAnsi="Arial" w:cs="Arial"/>
                <w:sz w:val="20"/>
                <w:szCs w:val="20"/>
              </w:rPr>
              <w:t xml:space="preserve"> (Dundee)</w:t>
            </w:r>
            <w:r w:rsidRPr="004D1291">
              <w:rPr>
                <w:rFonts w:ascii="Arial" w:hAnsi="Arial" w:cs="Arial"/>
                <w:sz w:val="20"/>
                <w:szCs w:val="20"/>
              </w:rPr>
              <w:t>, Amanda Powling</w:t>
            </w:r>
            <w:r>
              <w:rPr>
                <w:rFonts w:ascii="Arial" w:hAnsi="Arial" w:cs="Arial"/>
                <w:sz w:val="20"/>
                <w:szCs w:val="20"/>
              </w:rPr>
              <w:t xml:space="preserve"> (London Met)</w:t>
            </w:r>
            <w:r w:rsidRPr="004D1291">
              <w:rPr>
                <w:rFonts w:ascii="Arial" w:hAnsi="Arial" w:cs="Arial"/>
                <w:sz w:val="20"/>
                <w:szCs w:val="20"/>
              </w:rPr>
              <w:t>, Lizana Oberholzer</w:t>
            </w:r>
            <w:r>
              <w:rPr>
                <w:rFonts w:ascii="Arial" w:hAnsi="Arial" w:cs="Arial"/>
                <w:sz w:val="20"/>
                <w:szCs w:val="20"/>
              </w:rPr>
              <w:t xml:space="preserve"> (Wolverhampton)</w:t>
            </w:r>
            <w:r w:rsidRPr="004D1291">
              <w:rPr>
                <w:rFonts w:ascii="Arial" w:hAnsi="Arial" w:cs="Arial"/>
                <w:sz w:val="20"/>
                <w:szCs w:val="20"/>
              </w:rPr>
              <w:t xml:space="preserve"> and David Littlefair</w:t>
            </w:r>
            <w:r>
              <w:rPr>
                <w:rFonts w:ascii="Arial" w:hAnsi="Arial" w:cs="Arial"/>
                <w:sz w:val="20"/>
                <w:szCs w:val="20"/>
              </w:rPr>
              <w:t xml:space="preserve"> (Northumbria)</w:t>
            </w:r>
            <w:r w:rsidRPr="004D1291">
              <w:rPr>
                <w:rFonts w:ascii="Arial" w:hAnsi="Arial" w:cs="Arial"/>
                <w:sz w:val="20"/>
                <w:szCs w:val="20"/>
              </w:rPr>
              <w:t>: An exploration of the contribution that teacher education (as a sub-discipline) makes to higher education institutions</w:t>
            </w:r>
          </w:p>
        </w:tc>
      </w:tr>
      <w:tr w:rsidR="00EE4640" w:rsidRPr="006E56DB" w:rsidTr="00EE4640">
        <w:trPr>
          <w:trHeight w:val="340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E4640" w:rsidRPr="006E56DB" w:rsidRDefault="00723F8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12:00 – 12</w:t>
            </w:r>
            <w:r w:rsidR="00EE4640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45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E4640" w:rsidRPr="007374A9" w:rsidRDefault="00EE4640" w:rsidP="00E12B32">
            <w:pPr>
              <w:pStyle w:val="NoSpacing"/>
              <w:rPr>
                <w:rFonts w:ascii="Arial" w:hAnsi="Arial" w:cs="Arial"/>
                <w:lang w:val="en-GB"/>
              </w:rPr>
            </w:pPr>
            <w:r w:rsidRPr="006E56DB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EE4640" w:rsidRPr="006E56DB" w:rsidTr="00EE4640">
        <w:trPr>
          <w:trHeight w:val="340"/>
        </w:trPr>
        <w:tc>
          <w:tcPr>
            <w:tcW w:w="15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40" w:rsidRDefault="00EE4640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EE4640" w:rsidRDefault="00EE4640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EE4640" w:rsidRPr="006E56DB" w:rsidRDefault="00723F8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12:45</w:t>
            </w:r>
            <w:r w:rsidR="00EE4640">
              <w:rPr>
                <w:rFonts w:ascii="Arial" w:hAnsi="Arial" w:cs="Arial"/>
                <w:sz w:val="20"/>
                <w:szCs w:val="20"/>
                <w:u w:val="none"/>
              </w:rPr>
              <w:t xml:space="preserve"> – 13:4</w:t>
            </w:r>
            <w:r w:rsidR="00EE4640" w:rsidRPr="006E56DB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40" w:rsidRPr="007374A9" w:rsidRDefault="00EE4640" w:rsidP="00E12B32">
            <w:pPr>
              <w:pStyle w:val="NoSpacing"/>
              <w:rPr>
                <w:rFonts w:ascii="Arial" w:hAnsi="Arial" w:cs="Arial"/>
                <w:lang w:val="en-GB"/>
              </w:rPr>
            </w:pPr>
            <w:r w:rsidRPr="00EE4640">
              <w:rPr>
                <w:rFonts w:ascii="Arial" w:hAnsi="Arial" w:cs="Arial"/>
              </w:rPr>
              <w:t>KEYNOTE ADDRESS: Passions and provocations in teacher education: reflecting on 30 years of policy and practice in England - Shabnam Cadwallender (Leeds Beckett), Victoria Crooks (Nottingham) Christine Harrison (King’s College), David Leat (Newcastle), Rachel Lofthouse (Leeds Beckett) and Jan Rowe (Liverpool John Moores)</w:t>
            </w:r>
          </w:p>
        </w:tc>
      </w:tr>
      <w:tr w:rsidR="00154D57" w:rsidRPr="006E56DB" w:rsidTr="00154D57">
        <w:trPr>
          <w:trHeight w:val="260"/>
        </w:trPr>
        <w:tc>
          <w:tcPr>
            <w:tcW w:w="1569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154D57" w:rsidRPr="006E56DB" w:rsidRDefault="00A11E95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13:50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4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</w:p>
        </w:tc>
        <w:tc>
          <w:tcPr>
            <w:tcW w:w="9454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</w:p>
        </w:tc>
      </w:tr>
      <w:tr w:rsidR="00154D57" w:rsidRPr="006E56DB" w:rsidTr="00154D57">
        <w:tc>
          <w:tcPr>
            <w:tcW w:w="728" w:type="dxa"/>
            <w:tcBorders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</w:t>
            </w:r>
          </w:p>
        </w:tc>
        <w:tc>
          <w:tcPr>
            <w:tcW w:w="10295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Ruth Seabrook (Roehampton): CCF and mentor training</w:t>
            </w:r>
          </w:p>
        </w:tc>
      </w:tr>
      <w:tr w:rsidR="00154D57" w:rsidRPr="006E56DB" w:rsidTr="00154D57">
        <w:trPr>
          <w:trHeight w:val="264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B2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Paul Hopkin</w:t>
            </w:r>
            <w:r w:rsidR="003F3414" w:rsidRPr="004D129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(Hull): Splendidly Blended - developing an PGCE in post-COVID times utilising technology and pedagogical systems for the </w:t>
            </w:r>
            <w:r w:rsidR="007374A9" w:rsidRPr="004D1291">
              <w:rPr>
                <w:rFonts w:ascii="Arial" w:hAnsi="Arial" w:cs="Arial"/>
                <w:sz w:val="20"/>
                <w:szCs w:val="20"/>
                <w:lang w:val="en-GB"/>
              </w:rPr>
              <w:t>blended learning experience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B3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Corinne </w:t>
            </w:r>
            <w:r w:rsidR="003F3414"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Woodfine &amp; Diane Warner (MMU):</w:t>
            </w:r>
            <w:r w:rsidRPr="004D129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The identity dilemmas of Early Career teachers from under-represented groups in the UK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B4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EE4640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Des Hewi</w:t>
            </w:r>
            <w:r w:rsidR="00154D57" w:rsidRPr="004D1291">
              <w:rPr>
                <w:rFonts w:ascii="Arial" w:hAnsi="Arial" w:cs="Arial"/>
                <w:sz w:val="20"/>
                <w:szCs w:val="20"/>
                <w:lang w:val="en-GB"/>
              </w:rPr>
              <w:t>tt (Warwick): QA in Teacher Education or Inclusion: SEND and EAL in particular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B5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Elaine Sharpling (UWTSD): Developing research dispositions in student-teachers.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B6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</w:tcPr>
          <w:p w:rsidR="00154D57" w:rsidRPr="004D1291" w:rsidRDefault="00243193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Arthur Kelly and Sarah Ankers (Chester University FECS): Preparing EYP students to Assess, Plan and Teach the Curriculum for Wales: Some reflections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B7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BB597A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Amy Loxley, Interim Lead Advisor, ICAN: </w:t>
            </w:r>
            <w:r w:rsidR="00B37E6F" w:rsidRPr="004D1291">
              <w:rPr>
                <w:rFonts w:ascii="Arial" w:hAnsi="Arial" w:cs="Arial"/>
                <w:sz w:val="20"/>
                <w:szCs w:val="20"/>
                <w:lang w:val="en-GB"/>
              </w:rPr>
              <w:t>We need to talk about communication: a highly prevalent, yet an often hidden cause of educational and behavioural difficulties</w:t>
            </w:r>
          </w:p>
        </w:tc>
      </w:tr>
      <w:tr w:rsidR="00154D57" w:rsidRPr="006E56DB" w:rsidTr="00154D57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B8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4D57" w:rsidRPr="004D1291" w:rsidRDefault="00154D57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Veri</w:t>
            </w:r>
            <w:r w:rsidR="007374A9" w:rsidRPr="004D1291">
              <w:rPr>
                <w:rFonts w:ascii="Arial" w:hAnsi="Arial" w:cs="Arial"/>
                <w:sz w:val="20"/>
                <w:szCs w:val="20"/>
                <w:lang w:val="en-GB"/>
              </w:rPr>
              <w:t>ty Campbell-Barr (Plymouth): A review of early years degrees content and employment p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athways in England</w:t>
            </w:r>
          </w:p>
        </w:tc>
      </w:tr>
      <w:tr w:rsidR="00154D57" w:rsidRPr="006E56DB" w:rsidTr="00655679">
        <w:tc>
          <w:tcPr>
            <w:tcW w:w="72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B9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154D57" w:rsidRPr="004D1291" w:rsidRDefault="00845FF6" w:rsidP="00BB59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Bob Bowie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Mary Woolley</w:t>
            </w: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(Canterbury): </w:t>
            </w:r>
            <w:r w:rsidR="00BB597A" w:rsidRPr="004D1291">
              <w:rPr>
                <w:rFonts w:ascii="Arial" w:hAnsi="Arial" w:cs="Arial"/>
                <w:sz w:val="20"/>
                <w:szCs w:val="20"/>
                <w:lang w:val="en-GB"/>
              </w:rPr>
              <w:t>Initial findings for ITE from research on Beginning Teachers and Science Religion Encounters in the classroom</w:t>
            </w:r>
          </w:p>
        </w:tc>
      </w:tr>
      <w:tr w:rsidR="00655679" w:rsidRPr="006E56DB" w:rsidTr="00D048A0">
        <w:tc>
          <w:tcPr>
            <w:tcW w:w="7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5679" w:rsidRPr="006E56DB" w:rsidRDefault="00655679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B10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5679" w:rsidRPr="004D1291" w:rsidRDefault="00655679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>Matthew Clarke, Richard Day, Louise Whitfield, Keither Parker, David Scott, Jenny Carpenter (York St John): Teacher trajectories: rhetoric &amp; reality, autonomy &amp; constraint</w:t>
            </w:r>
          </w:p>
        </w:tc>
      </w:tr>
      <w:tr w:rsidR="00D048A0" w:rsidRPr="006E56DB" w:rsidTr="003A1D51">
        <w:tc>
          <w:tcPr>
            <w:tcW w:w="728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D048A0" w:rsidRDefault="00D048A0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B11</w:t>
            </w:r>
          </w:p>
        </w:tc>
        <w:tc>
          <w:tcPr>
            <w:tcW w:w="1029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D048A0" w:rsidRPr="004D1291" w:rsidRDefault="00D048A0" w:rsidP="00154D5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291">
              <w:rPr>
                <w:rFonts w:ascii="Arial" w:hAnsi="Arial" w:cs="Arial"/>
                <w:sz w:val="20"/>
                <w:szCs w:val="20"/>
                <w:lang w:val="en-GB"/>
              </w:rPr>
              <w:t xml:space="preserve"> Claire Ball-Smith (York), Simon Gibbons (KCL), Kate Ireland (Warwick), Lisa Murtagh (Manchester) and Elizabeth Rushton (KCL): Reflection on continuity and change in Initial Teacher Education in a time of global pandemic</w:t>
            </w:r>
          </w:p>
        </w:tc>
      </w:tr>
      <w:tr w:rsidR="00154D57" w:rsidRPr="006E56DB" w:rsidTr="003A1D51">
        <w:tc>
          <w:tcPr>
            <w:tcW w:w="1569" w:type="dxa"/>
            <w:gridSpan w:val="2"/>
            <w:tcBorders>
              <w:bottom w:val="nil"/>
            </w:tcBorders>
          </w:tcPr>
          <w:p w:rsidR="00154D57" w:rsidRPr="006E56DB" w:rsidRDefault="00A11E95" w:rsidP="00A11E95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14:55</w:t>
            </w:r>
            <w:r w:rsidR="00154D57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15:40</w:t>
            </w:r>
          </w:p>
        </w:tc>
        <w:tc>
          <w:tcPr>
            <w:tcW w:w="9454" w:type="dxa"/>
            <w:tcBorders>
              <w:bottom w:val="nil"/>
            </w:tcBorders>
          </w:tcPr>
          <w:p w:rsidR="00154D57" w:rsidRPr="006E56DB" w:rsidRDefault="00FF523D" w:rsidP="00154D5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KEYNOTE ADDRESS: </w:t>
            </w:r>
            <w:r w:rsidR="00234EF7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Jack Worth (NFER) - </w:t>
            </w:r>
            <w:r w:rsidR="00234EF7" w:rsidRPr="00234EF7">
              <w:rPr>
                <w:rFonts w:ascii="Arial" w:hAnsi="Arial" w:cs="Arial"/>
                <w:b w:val="0"/>
                <w:color w:val="333333"/>
                <w:sz w:val="21"/>
                <w:szCs w:val="21"/>
                <w:u w:val="none"/>
                <w:shd w:val="clear" w:color="auto" w:fill="FFFFFF"/>
              </w:rPr>
              <w:t>Recruitment to ITE programmes, retention and the availability of ITE placements</w:t>
            </w:r>
          </w:p>
        </w:tc>
      </w:tr>
      <w:tr w:rsidR="00154D57" w:rsidRPr="006E56DB" w:rsidTr="003A1D51"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3A1D51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154D57" w:rsidRPr="006E56DB" w:rsidRDefault="00154D57" w:rsidP="00154D57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357" w:rsidRPr="006E56DB" w:rsidRDefault="003A6357" w:rsidP="00154D57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tbl>
      <w:tblPr>
        <w:tblpPr w:leftFromText="180" w:rightFromText="180" w:vertAnchor="text" w:tblpY="3"/>
        <w:tblW w:w="1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74"/>
        <w:gridCol w:w="9725"/>
      </w:tblGrid>
      <w:tr w:rsidR="006E56DB" w:rsidRPr="006E56DB" w:rsidTr="00154D57">
        <w:trPr>
          <w:trHeight w:val="270"/>
        </w:trPr>
        <w:tc>
          <w:tcPr>
            <w:tcW w:w="11282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D11367" w:rsidRPr="006E56DB" w:rsidRDefault="00FC77A2" w:rsidP="00D113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6DB">
              <w:rPr>
                <w:rFonts w:ascii="Arial" w:hAnsi="Arial" w:cs="Arial"/>
                <w:b/>
              </w:rPr>
              <w:t>Wednesday</w:t>
            </w:r>
            <w:r w:rsidR="008474CE" w:rsidRPr="006E56DB">
              <w:rPr>
                <w:rFonts w:ascii="Arial" w:hAnsi="Arial" w:cs="Arial"/>
                <w:b/>
              </w:rPr>
              <w:t xml:space="preserve">, </w:t>
            </w:r>
            <w:r w:rsidR="00A11E95">
              <w:rPr>
                <w:rFonts w:ascii="Arial" w:hAnsi="Arial" w:cs="Arial"/>
                <w:b/>
              </w:rPr>
              <w:t>3rd</w:t>
            </w:r>
            <w:r w:rsidR="008474CE" w:rsidRPr="006E56DB">
              <w:rPr>
                <w:rFonts w:ascii="Arial" w:hAnsi="Arial" w:cs="Arial"/>
                <w:b/>
              </w:rPr>
              <w:t xml:space="preserve"> </w:t>
            </w:r>
            <w:r w:rsidR="00D11367" w:rsidRPr="006E56DB">
              <w:rPr>
                <w:rFonts w:ascii="Arial" w:hAnsi="Arial" w:cs="Arial"/>
                <w:b/>
              </w:rPr>
              <w:t>November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</w:tcPr>
          <w:p w:rsidR="007C5E0F" w:rsidRPr="006E56DB" w:rsidRDefault="00D34F0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10:00 – 10</w:t>
            </w:r>
            <w:r w:rsidR="007C5E0F" w:rsidRPr="006E56DB">
              <w:rPr>
                <w:rFonts w:ascii="Arial" w:hAnsi="Arial" w:cs="Arial"/>
                <w:b/>
                <w:sz w:val="20"/>
                <w:szCs w:val="20"/>
              </w:rPr>
              <w:t>:45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</w:tcPr>
          <w:p w:rsidR="007C5E0F" w:rsidRPr="006E56DB" w:rsidRDefault="00FF523D" w:rsidP="00B04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KEYNOTE ADDRESS</w:t>
            </w:r>
            <w:r w:rsidRPr="003307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4D57" w:rsidRPr="003307CF">
              <w:rPr>
                <w:rFonts w:ascii="Arial" w:hAnsi="Arial" w:cs="Arial"/>
              </w:rPr>
              <w:t>I</w:t>
            </w:r>
            <w:r w:rsidR="00154D57" w:rsidRPr="003307CF">
              <w:rPr>
                <w:rFonts w:ascii="Arial" w:hAnsi="Arial" w:cs="Arial"/>
                <w:bCs/>
                <w:color w:val="000000"/>
              </w:rPr>
              <w:t xml:space="preserve">an Thompson and Harry </w:t>
            </w:r>
            <w:r w:rsidR="00154D57" w:rsidRPr="00FF523D">
              <w:rPr>
                <w:rFonts w:ascii="Arial" w:hAnsi="Arial" w:cs="Arial"/>
                <w:bCs/>
                <w:color w:val="000000"/>
              </w:rPr>
              <w:t xml:space="preserve">Daniels </w:t>
            </w:r>
            <w:r w:rsidR="00622FC9" w:rsidRPr="00FF523D">
              <w:rPr>
                <w:rFonts w:ascii="Arial" w:hAnsi="Arial" w:cs="Arial"/>
                <w:bCs/>
                <w:color w:val="000000"/>
              </w:rPr>
              <w:t xml:space="preserve">(Oxford) - </w:t>
            </w:r>
            <w:r w:rsidR="00154D57" w:rsidRPr="00FF523D">
              <w:rPr>
                <w:rFonts w:ascii="Arial" w:hAnsi="Arial" w:cs="Arial"/>
                <w:bCs/>
                <w:color w:val="000000"/>
              </w:rPr>
              <w:t>Excluded Lives</w:t>
            </w:r>
          </w:p>
        </w:tc>
      </w:tr>
      <w:tr w:rsidR="006E56DB" w:rsidRPr="006E56DB" w:rsidTr="00154D57">
        <w:trPr>
          <w:trHeight w:hRule="exact" w:val="253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51C7D" w:rsidRPr="006E56DB" w:rsidRDefault="00154D57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D34F04" w:rsidRPr="006E56DB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25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51C7D" w:rsidRPr="006E56DB" w:rsidRDefault="001B110C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1069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7374A9" w:rsidRDefault="000F53E0" w:rsidP="008A5498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Richard Parker</w:t>
            </w:r>
            <w:r w:rsidR="00D7019B">
              <w:rPr>
                <w:rFonts w:ascii="Arial" w:hAnsi="Arial" w:cs="Arial"/>
                <w:lang w:val="en-GB"/>
              </w:rPr>
              <w:t>, Tony Clifton (ARC, Bath Spa</w:t>
            </w:r>
            <w:r w:rsidRPr="007374A9">
              <w:rPr>
                <w:rFonts w:ascii="Arial" w:hAnsi="Arial" w:cs="Arial"/>
                <w:lang w:val="en-GB"/>
              </w:rPr>
              <w:t>)</w:t>
            </w:r>
            <w:r w:rsidR="00D7019B">
              <w:rPr>
                <w:rFonts w:ascii="Arial" w:hAnsi="Arial" w:cs="Arial"/>
                <w:lang w:val="en-GB"/>
              </w:rPr>
              <w:t>,</w:t>
            </w:r>
            <w:r w:rsidR="00D7019B" w:rsidRPr="00D7019B">
              <w:rPr>
                <w:rFonts w:ascii="Arial" w:hAnsi="Arial" w:cs="Arial"/>
                <w:lang w:val="en-GB"/>
              </w:rPr>
              <w:t xml:space="preserve"> Helen Trivedi</w:t>
            </w:r>
            <w:r w:rsidR="00D7019B">
              <w:rPr>
                <w:rFonts w:ascii="Arial" w:hAnsi="Arial" w:cs="Arial"/>
                <w:lang w:val="en-GB"/>
              </w:rPr>
              <w:t xml:space="preserve"> (Oxford), </w:t>
            </w:r>
            <w:r w:rsidR="00D7019B">
              <w:rPr>
                <w:rFonts w:ascii="Arial" w:eastAsia="Times New Roman" w:hAnsi="Arial" w:cs="Arial"/>
              </w:rPr>
              <w:t>Karen Duffy (MMU),  Jane Bradley</w:t>
            </w:r>
            <w:r w:rsidR="00D048A0">
              <w:rPr>
                <w:rFonts w:ascii="Arial" w:eastAsia="Times New Roman" w:hAnsi="Arial" w:cs="Arial"/>
              </w:rPr>
              <w:t xml:space="preserve"> (Chester) and</w:t>
            </w:r>
            <w:r w:rsidR="00D7019B">
              <w:t xml:space="preserve"> </w:t>
            </w:r>
            <w:r w:rsidR="00D7019B" w:rsidRPr="00D7019B">
              <w:rPr>
                <w:rFonts w:ascii="Arial" w:eastAsia="Times New Roman" w:hAnsi="Arial" w:cs="Arial"/>
              </w:rPr>
              <w:t>Andy Bloor</w:t>
            </w:r>
            <w:r w:rsidR="00D7019B">
              <w:rPr>
                <w:rFonts w:ascii="Arial" w:eastAsia="Times New Roman" w:hAnsi="Arial" w:cs="Arial"/>
              </w:rPr>
              <w:t xml:space="preserve"> (Derby)</w:t>
            </w:r>
            <w:r w:rsidRPr="007374A9">
              <w:rPr>
                <w:rFonts w:ascii="Arial" w:hAnsi="Arial" w:cs="Arial"/>
                <w:lang w:val="en-GB"/>
              </w:rPr>
              <w:t>:</w:t>
            </w:r>
            <w:r w:rsidR="007374A9">
              <w:rPr>
                <w:rFonts w:ascii="Arial" w:hAnsi="Arial" w:cs="Arial"/>
                <w:lang w:val="en-GB"/>
              </w:rPr>
              <w:t xml:space="preserve"> Attachment a</w:t>
            </w:r>
            <w:r w:rsidRPr="007374A9">
              <w:rPr>
                <w:rFonts w:ascii="Arial" w:hAnsi="Arial" w:cs="Arial"/>
                <w:lang w:val="en-GB"/>
              </w:rPr>
              <w:t>wareness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696D5F" w:rsidRDefault="00C26AD1" w:rsidP="00C26AD1">
            <w:pPr>
              <w:pStyle w:val="NoSpacing"/>
              <w:rPr>
                <w:rFonts w:ascii="Arial" w:hAnsi="Arial" w:cs="Arial"/>
                <w:lang w:val="en-GB"/>
              </w:rPr>
            </w:pPr>
            <w:r w:rsidRPr="00696D5F">
              <w:rPr>
                <w:rFonts w:ascii="Arial" w:hAnsi="Arial" w:cs="Arial"/>
                <w:lang w:val="en-GB"/>
              </w:rPr>
              <w:t>Invisible Diversity in ITE: Rosemary Ridgeway (Durham), Heather Smith (Newcastle) and Balbir Kaur (Brunel): Equality and Educational Policy 2021</w:t>
            </w:r>
          </w:p>
        </w:tc>
      </w:tr>
      <w:tr w:rsidR="006E56DB" w:rsidRPr="006E56DB" w:rsidTr="00154D57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696D5F" w:rsidRDefault="00845FF6" w:rsidP="00696D5F">
            <w:pPr>
              <w:pStyle w:val="NoSpacing"/>
              <w:rPr>
                <w:rFonts w:ascii="Arial" w:hAnsi="Arial" w:cs="Arial"/>
                <w:lang w:val="en-GB"/>
              </w:rPr>
            </w:pPr>
            <w:r w:rsidRPr="00696D5F">
              <w:rPr>
                <w:rFonts w:ascii="Arial" w:hAnsi="Arial" w:cs="Arial"/>
                <w:lang w:val="en-GB"/>
              </w:rPr>
              <w:t>Anna Lise Gordon (St Mary</w:t>
            </w:r>
            <w:r w:rsidR="00FF523D" w:rsidRPr="00696D5F">
              <w:rPr>
                <w:rFonts w:ascii="Arial" w:hAnsi="Arial" w:cs="Arial"/>
                <w:lang w:val="en-GB"/>
              </w:rPr>
              <w:t>’</w:t>
            </w:r>
            <w:r w:rsidRPr="00696D5F">
              <w:rPr>
                <w:rFonts w:ascii="Arial" w:hAnsi="Arial" w:cs="Arial"/>
                <w:lang w:val="en-GB"/>
              </w:rPr>
              <w:t>s</w:t>
            </w:r>
            <w:r w:rsidR="00FF523D" w:rsidRPr="00696D5F">
              <w:rPr>
                <w:rFonts w:ascii="Arial" w:hAnsi="Arial" w:cs="Arial"/>
                <w:lang w:val="en-GB"/>
              </w:rPr>
              <w:t>, Twickenham</w:t>
            </w:r>
            <w:r w:rsidRPr="00696D5F">
              <w:rPr>
                <w:rFonts w:ascii="Arial" w:hAnsi="Arial" w:cs="Arial"/>
                <w:lang w:val="en-GB"/>
              </w:rPr>
              <w:t xml:space="preserve">) and </w:t>
            </w:r>
            <w:r w:rsidR="00696D5F" w:rsidRPr="00696D5F">
              <w:rPr>
                <w:rFonts w:ascii="Arial" w:eastAsia="Times New Roman" w:hAnsi="Arial" w:cs="Arial"/>
                <w:color w:val="000000"/>
              </w:rPr>
              <w:t xml:space="preserve">Tracey Boseley </w:t>
            </w:r>
            <w:r w:rsidR="00696D5F" w:rsidRPr="00696D5F">
              <w:rPr>
                <w:rFonts w:ascii="Arial" w:hAnsi="Arial" w:cs="Arial"/>
                <w:lang w:val="en-GB"/>
              </w:rPr>
              <w:t>(</w:t>
            </w:r>
            <w:r w:rsidRPr="00696D5F">
              <w:rPr>
                <w:rFonts w:ascii="Arial" w:hAnsi="Arial" w:cs="Arial"/>
                <w:lang w:val="en-GB"/>
              </w:rPr>
              <w:t>Child Bereavement UK</w:t>
            </w:r>
            <w:r w:rsidR="00696D5F" w:rsidRPr="00696D5F">
              <w:rPr>
                <w:rFonts w:ascii="Arial" w:hAnsi="Arial" w:cs="Arial"/>
                <w:lang w:val="en-GB"/>
              </w:rPr>
              <w:t>)</w:t>
            </w:r>
            <w:r w:rsidRPr="00696D5F">
              <w:rPr>
                <w:rFonts w:ascii="Arial" w:hAnsi="Arial" w:cs="Arial"/>
                <w:lang w:val="en-GB"/>
              </w:rPr>
              <w:t>:  Honest conversations about death and grief - an essential part of the ITE curriculum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7374A9" w:rsidRDefault="000F53E0" w:rsidP="00005E76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Fufy Dem</w:t>
            </w:r>
            <w:r w:rsidR="00D048A0">
              <w:rPr>
                <w:rFonts w:ascii="Arial" w:hAnsi="Arial" w:cs="Arial"/>
                <w:lang w:val="en-GB"/>
              </w:rPr>
              <w:t>missie and Alison Shorer (SHU):</w:t>
            </w:r>
            <w:r w:rsidRPr="007374A9">
              <w:rPr>
                <w:rFonts w:ascii="Arial" w:hAnsi="Arial" w:cs="Arial"/>
                <w:lang w:val="en-GB"/>
              </w:rPr>
              <w:t xml:space="preserve"> Philosophy for Children (P4) pedagogy</w:t>
            </w:r>
            <w:r w:rsidR="00FF523D">
              <w:rPr>
                <w:rFonts w:ascii="Arial" w:hAnsi="Arial" w:cs="Arial"/>
                <w:lang w:val="en-GB"/>
              </w:rPr>
              <w:t xml:space="preserve"> in initial teacher education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0F53E0" w:rsidP="00B0428D">
            <w:pPr>
              <w:pStyle w:val="NoSpacing"/>
              <w:rPr>
                <w:rFonts w:ascii="Arial" w:hAnsi="Arial" w:cs="Arial"/>
                <w:iCs/>
                <w:lang w:val="en-GB"/>
              </w:rPr>
            </w:pPr>
            <w:r w:rsidRPr="007374A9">
              <w:rPr>
                <w:rFonts w:ascii="Arial" w:hAnsi="Arial" w:cs="Arial"/>
                <w:iCs/>
                <w:lang w:val="en-GB"/>
              </w:rPr>
              <w:t>Laura London &amp; Sophie Lauzour (UEA): Cultivating racial literacy on ITE programmes.</w:t>
            </w:r>
          </w:p>
        </w:tc>
      </w:tr>
      <w:tr w:rsidR="006E56DB" w:rsidRPr="006E56DB" w:rsidTr="00154D57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7374A9" w:rsidRDefault="000F53E0" w:rsidP="00B0428D">
            <w:pPr>
              <w:pStyle w:val="NoSpacing"/>
              <w:rPr>
                <w:rFonts w:ascii="Arial" w:hAnsi="Arial" w:cs="Arial"/>
              </w:rPr>
            </w:pPr>
            <w:r w:rsidRPr="007374A9">
              <w:rPr>
                <w:rFonts w:ascii="Arial" w:hAnsi="Arial" w:cs="Arial"/>
              </w:rPr>
              <w:t>James Noble-Rogers</w:t>
            </w:r>
            <w:r w:rsidR="00FF523D">
              <w:rPr>
                <w:rFonts w:ascii="Arial" w:hAnsi="Arial" w:cs="Arial"/>
              </w:rPr>
              <w:t xml:space="preserve"> (UCET)</w:t>
            </w:r>
            <w:r w:rsidRPr="007374A9">
              <w:rPr>
                <w:rFonts w:ascii="Arial" w:hAnsi="Arial" w:cs="Arial"/>
              </w:rPr>
              <w:t xml:space="preserve"> et al: The emerging teacher education landscape in England in context of the ITE market revie</w:t>
            </w:r>
            <w:r w:rsidR="00FF523D">
              <w:rPr>
                <w:rFonts w:ascii="Arial" w:hAnsi="Arial" w:cs="Arial"/>
              </w:rPr>
              <w:t>w and the Institute of Teaching</w:t>
            </w:r>
          </w:p>
        </w:tc>
      </w:tr>
      <w:tr w:rsidR="006E56DB" w:rsidRPr="006E56DB" w:rsidTr="00154D57">
        <w:trPr>
          <w:trHeight w:val="18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59034B" w:rsidP="0059034B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Kirstin Sawyer</w:t>
            </w:r>
            <w:r>
              <w:rPr>
                <w:rFonts w:ascii="Arial" w:hAnsi="Arial" w:cs="Arial"/>
                <w:lang w:val="en-GB"/>
              </w:rPr>
              <w:t xml:space="preserve"> (Bradford) Howard Pilot  (ETF) &amp; Charlotte Bonner (ET</w:t>
            </w:r>
            <w:r w:rsidRPr="007374A9">
              <w:rPr>
                <w:rFonts w:ascii="Arial" w:hAnsi="Arial" w:cs="Arial"/>
                <w:lang w:val="en-GB"/>
              </w:rPr>
              <w:t>F)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Pr="007374A9">
              <w:rPr>
                <w:rFonts w:ascii="Arial" w:hAnsi="Arial" w:cs="Arial"/>
                <w:lang w:val="en-GB"/>
              </w:rPr>
              <w:t>Teacher education for sustainable development</w:t>
            </w:r>
            <w:r>
              <w:rPr>
                <w:rFonts w:ascii="Arial" w:hAnsi="Arial" w:cs="Arial"/>
                <w:lang w:val="en-GB"/>
              </w:rPr>
              <w:t xml:space="preserve"> in the post compulsory sector</w:t>
            </w:r>
            <w:r w:rsidRPr="007374A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E56DB" w:rsidRPr="006E56DB" w:rsidTr="00154D57">
        <w:trPr>
          <w:trHeight w:val="22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4113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C8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7374A9" w:rsidRDefault="00845FF6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Kat Banyard</w:t>
            </w:r>
            <w:r w:rsidR="00234EF7">
              <w:rPr>
                <w:rFonts w:ascii="Arial" w:hAnsi="Arial" w:cs="Arial"/>
                <w:lang w:val="en-GB"/>
              </w:rPr>
              <w:t xml:space="preserve"> (UK Feminista):</w:t>
            </w:r>
            <w:r w:rsidR="003E25B3" w:rsidRPr="007374A9">
              <w:rPr>
                <w:rFonts w:ascii="Arial" w:hAnsi="Arial" w:cs="Arial"/>
                <w:lang w:val="en-GB"/>
              </w:rPr>
              <w:t xml:space="preserve"> Tackling sexism in school</w:t>
            </w:r>
            <w:r w:rsidR="00622FC9">
              <w:rPr>
                <w:rFonts w:ascii="Arial" w:hAnsi="Arial" w:cs="Arial"/>
                <w:lang w:val="en-GB"/>
              </w:rPr>
              <w:t>s: R</w:t>
            </w:r>
            <w:r w:rsidR="003E25B3" w:rsidRPr="007374A9">
              <w:rPr>
                <w:rFonts w:ascii="Arial" w:hAnsi="Arial" w:cs="Arial"/>
                <w:lang w:val="en-GB"/>
              </w:rPr>
              <w:t>esources for ITE providers</w:t>
            </w:r>
          </w:p>
        </w:tc>
      </w:tr>
      <w:tr w:rsidR="006E56DB" w:rsidRPr="006E56DB" w:rsidTr="00724074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C9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0057BF" w:rsidP="00D115A9">
            <w:pPr>
              <w:pStyle w:val="NoSpacing"/>
              <w:rPr>
                <w:rFonts w:ascii="Arial" w:hAnsi="Arial" w:cs="Arial"/>
                <w:lang w:val="en-GB"/>
              </w:rPr>
            </w:pPr>
            <w:r w:rsidRPr="000057BF">
              <w:rPr>
                <w:rFonts w:ascii="Arial" w:hAnsi="Arial" w:cs="Arial"/>
                <w:lang w:val="en-GB"/>
              </w:rPr>
              <w:t>Kevin Mattinson (</w:t>
            </w:r>
            <w:r>
              <w:rPr>
                <w:rFonts w:ascii="Arial" w:hAnsi="Arial" w:cs="Arial"/>
                <w:lang w:val="en-GB"/>
              </w:rPr>
              <w:t>BCU</w:t>
            </w:r>
            <w:r w:rsidRPr="000057BF">
              <w:rPr>
                <w:rFonts w:ascii="Arial" w:hAnsi="Arial" w:cs="Arial"/>
                <w:lang w:val="en-GB"/>
              </w:rPr>
              <w:t>)</w:t>
            </w:r>
            <w:r>
              <w:rPr>
                <w:rFonts w:ascii="Arial" w:hAnsi="Arial" w:cs="Arial"/>
                <w:lang w:val="en-GB"/>
              </w:rPr>
              <w:t>:</w:t>
            </w:r>
            <w:r w:rsidRPr="000057BF">
              <w:rPr>
                <w:rFonts w:ascii="Arial" w:hAnsi="Arial" w:cs="Arial"/>
                <w:lang w:val="en-GB"/>
              </w:rPr>
              <w:t xml:space="preserve"> iQTS</w:t>
            </w:r>
          </w:p>
        </w:tc>
      </w:tr>
      <w:tr w:rsidR="00724074" w:rsidRPr="006E56DB" w:rsidTr="00724074">
        <w:trPr>
          <w:trHeight w:val="2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4074" w:rsidRPr="006E56DB" w:rsidRDefault="0072407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C10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24074" w:rsidRPr="000057BF" w:rsidRDefault="00724074" w:rsidP="00D115A9">
            <w:pPr>
              <w:pStyle w:val="NoSpacing"/>
              <w:rPr>
                <w:rFonts w:ascii="Arial" w:hAnsi="Arial" w:cs="Arial"/>
                <w:lang w:val="en-GB"/>
              </w:rPr>
            </w:pPr>
            <w:r w:rsidRPr="00724074">
              <w:rPr>
                <w:rFonts w:ascii="Arial" w:hAnsi="Arial" w:cs="Arial"/>
                <w:lang w:val="en-GB"/>
              </w:rPr>
              <w:t>Sally Pearse and Sue O’Brien</w:t>
            </w:r>
            <w:r>
              <w:rPr>
                <w:rFonts w:ascii="Arial" w:hAnsi="Arial" w:cs="Arial"/>
                <w:lang w:val="en-GB"/>
              </w:rPr>
              <w:t xml:space="preserve"> (SHU): </w:t>
            </w:r>
            <w:r w:rsidRPr="00724074">
              <w:rPr>
                <w:rFonts w:ascii="Arial" w:hAnsi="Arial" w:cs="Arial"/>
                <w:lang w:val="en-GB"/>
              </w:rPr>
              <w:t>Towards a Trauma Informed</w:t>
            </w:r>
            <w:r>
              <w:rPr>
                <w:rFonts w:ascii="Arial" w:hAnsi="Arial" w:cs="Arial"/>
                <w:lang w:val="en-GB"/>
              </w:rPr>
              <w:t xml:space="preserve"> University</w:t>
            </w:r>
          </w:p>
        </w:tc>
      </w:tr>
      <w:tr w:rsidR="00154D57" w:rsidRPr="006E56DB" w:rsidTr="00154D57">
        <w:trPr>
          <w:trHeight w:val="225"/>
        </w:trPr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57" w:rsidRPr="006E56DB" w:rsidRDefault="00A11E95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11:50-12:35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57" w:rsidRPr="007374A9" w:rsidRDefault="00FF523D" w:rsidP="00AC5F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KEYNOTE ADDRESS: </w:t>
            </w:r>
            <w:r w:rsidR="00137690">
              <w:rPr>
                <w:rFonts w:ascii="Arial" w:hAnsi="Arial" w:cs="Arial"/>
              </w:rPr>
              <w:t>Leigh Hoath (</w:t>
            </w:r>
            <w:r w:rsidR="00234EF7">
              <w:rPr>
                <w:rFonts w:ascii="Arial" w:hAnsi="Arial" w:cs="Arial"/>
              </w:rPr>
              <w:t xml:space="preserve">Leeds </w:t>
            </w:r>
            <w:r w:rsidR="00137690">
              <w:rPr>
                <w:rFonts w:ascii="Arial" w:hAnsi="Arial" w:cs="Arial"/>
              </w:rPr>
              <w:t xml:space="preserve">Trinity) </w:t>
            </w:r>
            <w:r>
              <w:rPr>
                <w:rFonts w:ascii="Arial" w:hAnsi="Arial" w:cs="Arial"/>
              </w:rPr>
              <w:t>–</w:t>
            </w:r>
            <w:r w:rsidR="00A11E95" w:rsidRPr="00737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A11E95" w:rsidRPr="007374A9">
              <w:rPr>
                <w:rFonts w:ascii="Arial" w:hAnsi="Arial" w:cs="Arial"/>
              </w:rPr>
              <w:t>Framework for Effective Teaching Outside the classroom, inc</w:t>
            </w:r>
            <w:r>
              <w:rPr>
                <w:rFonts w:ascii="Arial" w:hAnsi="Arial" w:cs="Arial"/>
              </w:rPr>
              <w:t>.</w:t>
            </w:r>
            <w:r w:rsidR="00A11E95" w:rsidRPr="007374A9">
              <w:rPr>
                <w:rFonts w:ascii="Arial" w:hAnsi="Arial" w:cs="Arial"/>
              </w:rPr>
              <w:t xml:space="preserve"> Blue Planet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6E56DB" w:rsidRDefault="00D34F04" w:rsidP="00A11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A11E95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6E56DB">
              <w:rPr>
                <w:rFonts w:ascii="Arial" w:hAnsi="Arial" w:cs="Arial"/>
                <w:b/>
                <w:sz w:val="20"/>
                <w:szCs w:val="20"/>
              </w:rPr>
              <w:t xml:space="preserve"> – 13:30</w:t>
            </w:r>
          </w:p>
        </w:tc>
        <w:tc>
          <w:tcPr>
            <w:tcW w:w="9725" w:type="dxa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D3D4D" w:rsidRPr="006E56DB" w:rsidRDefault="00D34F04" w:rsidP="007D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  <w:shd w:val="clear" w:color="auto" w:fill="auto"/>
          </w:tcPr>
          <w:p w:rsidR="004D3D4D" w:rsidRPr="00622FC9" w:rsidRDefault="00FF523D" w:rsidP="006775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KEYNOTE ADDRESS - </w:t>
            </w:r>
            <w:r w:rsidR="00677506" w:rsidRPr="00622FC9">
              <w:rPr>
                <w:rFonts w:ascii="Arial" w:hAnsi="Arial" w:cs="Arial"/>
              </w:rPr>
              <w:t xml:space="preserve">Berry </w:t>
            </w:r>
            <w:r w:rsidR="00677506" w:rsidRPr="00622FC9">
              <w:t xml:space="preserve"> </w:t>
            </w:r>
            <w:r w:rsidR="00677506" w:rsidRPr="00622FC9">
              <w:rPr>
                <w:rFonts w:ascii="Arial" w:hAnsi="Arial" w:cs="Arial"/>
              </w:rPr>
              <w:t>Billingsley, Canterbury -  Celebrating teachers as epistemic agents: Education-professionals who are critically thinking about the nature of teaching</w:t>
            </w:r>
          </w:p>
        </w:tc>
      </w:tr>
      <w:tr w:rsidR="006E56DB" w:rsidRPr="006E56DB" w:rsidTr="00154D57">
        <w:trPr>
          <w:trHeight w:val="225"/>
        </w:trPr>
        <w:tc>
          <w:tcPr>
            <w:tcW w:w="1557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81134F" w:rsidRPr="006E56DB" w:rsidRDefault="00D34F04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725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81134F" w:rsidRPr="006E56DB" w:rsidRDefault="0081134F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0699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7C5E0F" w:rsidRPr="007374A9" w:rsidRDefault="000F53E0" w:rsidP="00757BE8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 xml:space="preserve">Stephanie Evans (Cumbria): Mental health &amp; </w:t>
            </w:r>
            <w:r w:rsidR="00FF523D" w:rsidRPr="007374A9">
              <w:rPr>
                <w:rFonts w:ascii="Arial" w:hAnsi="Arial" w:cs="Arial"/>
                <w:lang w:val="en-GB"/>
              </w:rPr>
              <w:t>well-being</w:t>
            </w:r>
            <w:r w:rsidRPr="007374A9">
              <w:rPr>
                <w:rFonts w:ascii="Arial" w:hAnsi="Arial" w:cs="Arial"/>
                <w:lang w:val="en-GB"/>
              </w:rPr>
              <w:t xml:space="preserve"> on PCET programmes</w:t>
            </w:r>
          </w:p>
        </w:tc>
      </w:tr>
      <w:tr w:rsidR="006E56DB" w:rsidRPr="006E56DB" w:rsidTr="003A1D51"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FF523D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Lynn Senior (Huddersfield): T Levels 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7374A9" w:rsidRDefault="00AC4198" w:rsidP="00457FEF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7374A9">
              <w:rPr>
                <w:rFonts w:ascii="Arial" w:hAnsi="Arial" w:cs="Arial"/>
                <w:lang w:val="en-GB"/>
              </w:rPr>
              <w:t>Noel Purdy</w:t>
            </w:r>
            <w:r w:rsidR="00457FEF">
              <w:rPr>
                <w:rFonts w:ascii="Arial" w:hAnsi="Arial" w:cs="Arial"/>
                <w:lang w:val="en-GB"/>
              </w:rPr>
              <w:t xml:space="preserve">, </w:t>
            </w:r>
            <w:r w:rsidR="00457FEF">
              <w:t xml:space="preserve"> </w:t>
            </w:r>
            <w:r w:rsidR="00457FEF" w:rsidRPr="00457FEF">
              <w:rPr>
                <w:rFonts w:ascii="Arial" w:hAnsi="Arial" w:cs="Arial"/>
                <w:lang w:val="en-GB"/>
              </w:rPr>
              <w:t>Maria Campbell et al</w:t>
            </w:r>
            <w:r w:rsidRPr="007374A9">
              <w:rPr>
                <w:rFonts w:ascii="Arial" w:hAnsi="Arial" w:cs="Arial"/>
                <w:lang w:val="en-GB"/>
              </w:rPr>
              <w:t xml:space="preserve"> (Stranmillis): </w:t>
            </w:r>
            <w:r w:rsidR="00457FEF">
              <w:t xml:space="preserve"> </w:t>
            </w:r>
            <w:r w:rsidR="00457FEF" w:rsidRPr="00457FEF">
              <w:rPr>
                <w:rFonts w:ascii="Arial" w:hAnsi="Arial" w:cs="Arial"/>
                <w:lang w:val="en-GB"/>
              </w:rPr>
              <w:t>Assessing the value of SCOTENS as a cross-border professional learning network in Ireland north and south</w:t>
            </w:r>
          </w:p>
        </w:tc>
      </w:tr>
      <w:tr w:rsidR="006E56DB" w:rsidRPr="006E56DB" w:rsidTr="00154D57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0834FC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655679">
              <w:rPr>
                <w:rFonts w:ascii="Arial" w:hAnsi="Arial" w:cs="Arial"/>
                <w:lang w:val="en-GB"/>
              </w:rPr>
              <w:t>Keither Parker, Katy Bloom and Caroline Elbra-Ramsay</w:t>
            </w:r>
            <w:r>
              <w:rPr>
                <w:rFonts w:ascii="Arial" w:hAnsi="Arial" w:cs="Arial"/>
                <w:lang w:val="en-GB"/>
              </w:rPr>
              <w:t xml:space="preserve"> (York St John): </w:t>
            </w:r>
            <w:r>
              <w:t xml:space="preserve"> </w:t>
            </w:r>
            <w:r w:rsidRPr="00655679">
              <w:rPr>
                <w:rFonts w:ascii="Arial" w:hAnsi="Arial" w:cs="Arial"/>
                <w:lang w:val="en-GB"/>
              </w:rPr>
              <w:t>Re-imagining the assessment of school-based practice</w:t>
            </w:r>
          </w:p>
        </w:tc>
      </w:tr>
      <w:tr w:rsidR="006E56DB" w:rsidRPr="006E56DB" w:rsidTr="003A1D51">
        <w:trPr>
          <w:trHeight w:val="257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D5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7374A9" w:rsidRDefault="003A1D51" w:rsidP="003A1D51">
            <w:pPr>
              <w:pStyle w:val="NoSpacing"/>
              <w:rPr>
                <w:rFonts w:ascii="Arial" w:hAnsi="Arial" w:cs="Arial"/>
              </w:rPr>
            </w:pPr>
            <w:r w:rsidRPr="003A1D51">
              <w:rPr>
                <w:rFonts w:ascii="Arial" w:hAnsi="Arial" w:cs="Arial"/>
              </w:rPr>
              <w:t xml:space="preserve">Kelly Gipson </w:t>
            </w:r>
            <w:r>
              <w:rPr>
                <w:rFonts w:ascii="Arial" w:hAnsi="Arial" w:cs="Arial"/>
              </w:rPr>
              <w:t>(UWTSD):</w:t>
            </w:r>
            <w:r>
              <w:t xml:space="preserve"> </w:t>
            </w:r>
            <w:r w:rsidRPr="003A1D51">
              <w:rPr>
                <w:rFonts w:ascii="Arial" w:hAnsi="Arial" w:cs="Arial"/>
              </w:rPr>
              <w:t>Bridging – a way of linking theory to practice for student-teachers</w:t>
            </w:r>
          </w:p>
        </w:tc>
      </w:tr>
      <w:tr w:rsidR="006E56DB" w:rsidRPr="006E56DB" w:rsidTr="003A1D51">
        <w:trPr>
          <w:trHeight w:val="29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D6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D048A0" w:rsidP="00B0428D">
            <w:pPr>
              <w:pStyle w:val="NoSpacing"/>
              <w:rPr>
                <w:rFonts w:ascii="Arial" w:hAnsi="Arial" w:cs="Arial"/>
              </w:rPr>
            </w:pPr>
            <w:r w:rsidRPr="007374A9">
              <w:rPr>
                <w:rFonts w:ascii="Arial" w:hAnsi="Arial" w:cs="Arial"/>
                <w:lang w:val="en-GB"/>
              </w:rPr>
              <w:t>Katie Waldegrave (Now Teach):</w:t>
            </w:r>
            <w:r w:rsidR="00BB597A">
              <w:rPr>
                <w:rFonts w:ascii="Arial" w:hAnsi="Arial" w:cs="Arial"/>
                <w:lang w:val="en-GB"/>
              </w:rPr>
              <w:t xml:space="preserve"> </w:t>
            </w:r>
            <w:r w:rsidR="00BB597A" w:rsidRPr="00BB597A">
              <w:rPr>
                <w:rFonts w:ascii="Arial" w:hAnsi="Arial" w:cs="Arial"/>
                <w:lang w:val="en-GB"/>
              </w:rPr>
              <w:t>Inclusive Recruitment: Age Awareness</w:t>
            </w:r>
            <w:r w:rsidR="00BB597A">
              <w:rPr>
                <w:rFonts w:ascii="Arial" w:hAnsi="Arial" w:cs="Arial"/>
                <w:lang w:val="en-GB"/>
              </w:rPr>
              <w:t xml:space="preserve"> ITE</w:t>
            </w:r>
          </w:p>
        </w:tc>
      </w:tr>
      <w:tr w:rsidR="00B0428D" w:rsidRPr="006E56DB" w:rsidTr="003A1D51">
        <w:trPr>
          <w:trHeight w:val="265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428D" w:rsidRPr="006E56DB" w:rsidRDefault="00B0428D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D7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428D" w:rsidRPr="007374A9" w:rsidRDefault="0059034B" w:rsidP="00622FC9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Howard Pilot (ETF): Education Training Foundation update</w:t>
            </w:r>
          </w:p>
        </w:tc>
      </w:tr>
      <w:tr w:rsidR="006E56DB" w:rsidRPr="006E56DB" w:rsidTr="003A1D51">
        <w:trPr>
          <w:trHeight w:val="297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D8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7374A9" w:rsidRDefault="003E25B3" w:rsidP="006C36C2">
            <w:pPr>
              <w:pStyle w:val="NoSpacing"/>
              <w:rPr>
                <w:rFonts w:ascii="Arial" w:hAnsi="Arial" w:cs="Arial"/>
                <w:lang w:val="en-GB"/>
              </w:rPr>
            </w:pPr>
            <w:r w:rsidRPr="007374A9">
              <w:rPr>
                <w:rFonts w:ascii="Arial" w:hAnsi="Arial" w:cs="Arial"/>
                <w:lang w:val="en-GB"/>
              </w:rPr>
              <w:t>Silke Paulmann (Essex): Tone of voice in ITE</w:t>
            </w:r>
          </w:p>
        </w:tc>
      </w:tr>
      <w:tr w:rsidR="006E56DB" w:rsidRPr="006E56DB" w:rsidTr="00BB597A">
        <w:trPr>
          <w:trHeight w:val="340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D9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0057BF" w:rsidRDefault="00C26AD1" w:rsidP="000057BF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Paul Vare (Gloucestershire): </w:t>
            </w:r>
            <w:r>
              <w:t xml:space="preserve"> </w:t>
            </w:r>
            <w:r w:rsidRPr="00C26AD1">
              <w:rPr>
                <w:rFonts w:ascii="Arial" w:hAnsi="Arial" w:cs="Arial"/>
                <w:lang w:val="en-GB"/>
              </w:rPr>
              <w:t>Too late to learn? Possible and probable responses of teacher</w:t>
            </w:r>
            <w:r w:rsidR="00655679">
              <w:rPr>
                <w:rFonts w:ascii="Arial" w:hAnsi="Arial" w:cs="Arial"/>
                <w:lang w:val="en-GB"/>
              </w:rPr>
              <w:t xml:space="preserve"> education to </w:t>
            </w:r>
            <w:r w:rsidR="00AA5713">
              <w:rPr>
                <w:rFonts w:ascii="Arial" w:hAnsi="Arial" w:cs="Arial"/>
                <w:lang w:val="en-GB"/>
              </w:rPr>
              <w:t xml:space="preserve">the </w:t>
            </w:r>
            <w:r w:rsidR="00655679">
              <w:rPr>
                <w:rFonts w:ascii="Arial" w:hAnsi="Arial" w:cs="Arial"/>
                <w:lang w:val="en-GB"/>
              </w:rPr>
              <w:t>ecological crisis</w:t>
            </w:r>
          </w:p>
        </w:tc>
      </w:tr>
      <w:tr w:rsidR="00BB597A" w:rsidRPr="006E56DB" w:rsidTr="00BB597A">
        <w:trPr>
          <w:trHeight w:val="340"/>
        </w:trPr>
        <w:tc>
          <w:tcPr>
            <w:tcW w:w="583" w:type="dxa"/>
            <w:tcBorders>
              <w:top w:val="nil"/>
              <w:bottom w:val="single" w:sz="4" w:space="0" w:color="000000"/>
              <w:right w:val="nil"/>
            </w:tcBorders>
            <w:shd w:val="pct10" w:color="auto" w:fill="auto"/>
          </w:tcPr>
          <w:p w:rsidR="00BB597A" w:rsidRPr="006E56DB" w:rsidRDefault="00BB597A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D10</w:t>
            </w:r>
          </w:p>
        </w:tc>
        <w:tc>
          <w:tcPr>
            <w:tcW w:w="10699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pct10" w:color="auto" w:fill="auto"/>
          </w:tcPr>
          <w:p w:rsidR="00BB597A" w:rsidRPr="00BB597A" w:rsidRDefault="00BB597A" w:rsidP="000057BF">
            <w:pPr>
              <w:pStyle w:val="NoSpacing"/>
              <w:rPr>
                <w:rFonts w:ascii="Arial" w:hAnsi="Arial" w:cs="Arial"/>
                <w:lang w:val="en-GB"/>
              </w:rPr>
            </w:pPr>
            <w:r w:rsidRPr="00BB597A">
              <w:rPr>
                <w:rFonts w:ascii="Arial" w:hAnsi="Arial" w:cs="Arial"/>
              </w:rPr>
              <w:t>Robert Caudwell (Penrose Education): The challenges and benefits of using tech in ITT</w:t>
            </w:r>
          </w:p>
        </w:tc>
      </w:tr>
    </w:tbl>
    <w:p w:rsidR="00D54D34" w:rsidRPr="006E56DB" w:rsidRDefault="00D54D34" w:rsidP="00D11367">
      <w:pPr>
        <w:rPr>
          <w:rFonts w:ascii="Arial" w:hAnsi="Arial" w:cs="Arial"/>
        </w:rPr>
      </w:pPr>
    </w:p>
    <w:sectPr w:rsidR="00D54D34" w:rsidRPr="006E56DB" w:rsidSect="00EE464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57BF"/>
    <w:rsid w:val="00005E76"/>
    <w:rsid w:val="000072E9"/>
    <w:rsid w:val="00015928"/>
    <w:rsid w:val="000215F8"/>
    <w:rsid w:val="00034A9E"/>
    <w:rsid w:val="00051C7D"/>
    <w:rsid w:val="00052826"/>
    <w:rsid w:val="000529DC"/>
    <w:rsid w:val="00065F1A"/>
    <w:rsid w:val="00066C95"/>
    <w:rsid w:val="000834FC"/>
    <w:rsid w:val="000844D0"/>
    <w:rsid w:val="000A69CC"/>
    <w:rsid w:val="000A7318"/>
    <w:rsid w:val="000B4DCA"/>
    <w:rsid w:val="000B7EF3"/>
    <w:rsid w:val="000D50B7"/>
    <w:rsid w:val="000D7AFD"/>
    <w:rsid w:val="000F53E0"/>
    <w:rsid w:val="001078AA"/>
    <w:rsid w:val="00112142"/>
    <w:rsid w:val="0011280F"/>
    <w:rsid w:val="00112DC5"/>
    <w:rsid w:val="00115FE6"/>
    <w:rsid w:val="00126F08"/>
    <w:rsid w:val="001319D4"/>
    <w:rsid w:val="00134504"/>
    <w:rsid w:val="00137690"/>
    <w:rsid w:val="00154D57"/>
    <w:rsid w:val="00155F40"/>
    <w:rsid w:val="0016294D"/>
    <w:rsid w:val="0019733B"/>
    <w:rsid w:val="001A5038"/>
    <w:rsid w:val="001B110C"/>
    <w:rsid w:val="001B658A"/>
    <w:rsid w:val="001C5825"/>
    <w:rsid w:val="001E3844"/>
    <w:rsid w:val="002058CB"/>
    <w:rsid w:val="00222449"/>
    <w:rsid w:val="002330EC"/>
    <w:rsid w:val="002349CD"/>
    <w:rsid w:val="00234EF7"/>
    <w:rsid w:val="00243189"/>
    <w:rsid w:val="00243193"/>
    <w:rsid w:val="0024763A"/>
    <w:rsid w:val="0025518D"/>
    <w:rsid w:val="00263F3A"/>
    <w:rsid w:val="00277FB2"/>
    <w:rsid w:val="0028068C"/>
    <w:rsid w:val="0028104F"/>
    <w:rsid w:val="002856BA"/>
    <w:rsid w:val="002933F8"/>
    <w:rsid w:val="002B3BD2"/>
    <w:rsid w:val="002E4E8E"/>
    <w:rsid w:val="002F7951"/>
    <w:rsid w:val="00322623"/>
    <w:rsid w:val="003307CF"/>
    <w:rsid w:val="003570F5"/>
    <w:rsid w:val="00363384"/>
    <w:rsid w:val="003A1D51"/>
    <w:rsid w:val="003A370C"/>
    <w:rsid w:val="003A6357"/>
    <w:rsid w:val="003B7ADE"/>
    <w:rsid w:val="003D50FD"/>
    <w:rsid w:val="003E25B3"/>
    <w:rsid w:val="003E367C"/>
    <w:rsid w:val="003F3414"/>
    <w:rsid w:val="0041130D"/>
    <w:rsid w:val="004145B8"/>
    <w:rsid w:val="00416EDA"/>
    <w:rsid w:val="00423278"/>
    <w:rsid w:val="00442ED6"/>
    <w:rsid w:val="004440D1"/>
    <w:rsid w:val="00445702"/>
    <w:rsid w:val="00457FEF"/>
    <w:rsid w:val="00467ACC"/>
    <w:rsid w:val="004722AA"/>
    <w:rsid w:val="004954F0"/>
    <w:rsid w:val="004B2FC6"/>
    <w:rsid w:val="004C5437"/>
    <w:rsid w:val="004D1291"/>
    <w:rsid w:val="004D3D4D"/>
    <w:rsid w:val="004D58CD"/>
    <w:rsid w:val="004E00AA"/>
    <w:rsid w:val="004E2835"/>
    <w:rsid w:val="004E3BDD"/>
    <w:rsid w:val="004F3D92"/>
    <w:rsid w:val="004F5108"/>
    <w:rsid w:val="00502650"/>
    <w:rsid w:val="00502B6D"/>
    <w:rsid w:val="005038BF"/>
    <w:rsid w:val="00534997"/>
    <w:rsid w:val="00540633"/>
    <w:rsid w:val="00547452"/>
    <w:rsid w:val="005835F3"/>
    <w:rsid w:val="00584579"/>
    <w:rsid w:val="0059034B"/>
    <w:rsid w:val="00593042"/>
    <w:rsid w:val="005A060E"/>
    <w:rsid w:val="005C3607"/>
    <w:rsid w:val="005C5A2E"/>
    <w:rsid w:val="005D330C"/>
    <w:rsid w:val="006061E0"/>
    <w:rsid w:val="00615957"/>
    <w:rsid w:val="00622CDD"/>
    <w:rsid w:val="00622FC9"/>
    <w:rsid w:val="00624B3D"/>
    <w:rsid w:val="00636BBF"/>
    <w:rsid w:val="00642E77"/>
    <w:rsid w:val="006514B1"/>
    <w:rsid w:val="00655679"/>
    <w:rsid w:val="00666FF0"/>
    <w:rsid w:val="00677506"/>
    <w:rsid w:val="006830E1"/>
    <w:rsid w:val="006903D5"/>
    <w:rsid w:val="00691A6C"/>
    <w:rsid w:val="00694188"/>
    <w:rsid w:val="00694679"/>
    <w:rsid w:val="00696D5F"/>
    <w:rsid w:val="0069724F"/>
    <w:rsid w:val="006A0AC4"/>
    <w:rsid w:val="006C2E99"/>
    <w:rsid w:val="006C36C2"/>
    <w:rsid w:val="006C6D63"/>
    <w:rsid w:val="006D1BF8"/>
    <w:rsid w:val="006E4714"/>
    <w:rsid w:val="006E56DB"/>
    <w:rsid w:val="006E64FB"/>
    <w:rsid w:val="00712D95"/>
    <w:rsid w:val="00720D81"/>
    <w:rsid w:val="00723F8F"/>
    <w:rsid w:val="00724074"/>
    <w:rsid w:val="007350E8"/>
    <w:rsid w:val="007374A9"/>
    <w:rsid w:val="00757BE8"/>
    <w:rsid w:val="007604AC"/>
    <w:rsid w:val="00777141"/>
    <w:rsid w:val="0078095F"/>
    <w:rsid w:val="00782156"/>
    <w:rsid w:val="00787323"/>
    <w:rsid w:val="007971A5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30F8A"/>
    <w:rsid w:val="00837BC6"/>
    <w:rsid w:val="008433DD"/>
    <w:rsid w:val="00845FF6"/>
    <w:rsid w:val="008474CE"/>
    <w:rsid w:val="008669B5"/>
    <w:rsid w:val="0087151C"/>
    <w:rsid w:val="00873364"/>
    <w:rsid w:val="00883AE4"/>
    <w:rsid w:val="0089029B"/>
    <w:rsid w:val="00895E40"/>
    <w:rsid w:val="008A12E6"/>
    <w:rsid w:val="008A5498"/>
    <w:rsid w:val="008A5907"/>
    <w:rsid w:val="008B1E38"/>
    <w:rsid w:val="008B57BD"/>
    <w:rsid w:val="008B6F05"/>
    <w:rsid w:val="008C40D1"/>
    <w:rsid w:val="008D1295"/>
    <w:rsid w:val="008D12E5"/>
    <w:rsid w:val="008E047E"/>
    <w:rsid w:val="008F57D7"/>
    <w:rsid w:val="00900202"/>
    <w:rsid w:val="00905E1D"/>
    <w:rsid w:val="00923F63"/>
    <w:rsid w:val="00932294"/>
    <w:rsid w:val="009422F6"/>
    <w:rsid w:val="0094712E"/>
    <w:rsid w:val="00955438"/>
    <w:rsid w:val="0097123E"/>
    <w:rsid w:val="00976508"/>
    <w:rsid w:val="009A0C1C"/>
    <w:rsid w:val="009A3DBF"/>
    <w:rsid w:val="009A42A4"/>
    <w:rsid w:val="009A7EC0"/>
    <w:rsid w:val="009B57C1"/>
    <w:rsid w:val="009C4D5A"/>
    <w:rsid w:val="009E7C29"/>
    <w:rsid w:val="009F1914"/>
    <w:rsid w:val="009F5EC5"/>
    <w:rsid w:val="009F743F"/>
    <w:rsid w:val="00A00308"/>
    <w:rsid w:val="00A00901"/>
    <w:rsid w:val="00A01A54"/>
    <w:rsid w:val="00A0281A"/>
    <w:rsid w:val="00A11600"/>
    <w:rsid w:val="00A11E95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86281"/>
    <w:rsid w:val="00A867A0"/>
    <w:rsid w:val="00A969D7"/>
    <w:rsid w:val="00A97CE5"/>
    <w:rsid w:val="00AA1E60"/>
    <w:rsid w:val="00AA5713"/>
    <w:rsid w:val="00AA6D4C"/>
    <w:rsid w:val="00AB05AE"/>
    <w:rsid w:val="00AC4198"/>
    <w:rsid w:val="00AC5F79"/>
    <w:rsid w:val="00AC680E"/>
    <w:rsid w:val="00AD2A76"/>
    <w:rsid w:val="00AD7934"/>
    <w:rsid w:val="00B012F4"/>
    <w:rsid w:val="00B01F67"/>
    <w:rsid w:val="00B0428D"/>
    <w:rsid w:val="00B15CFD"/>
    <w:rsid w:val="00B3585E"/>
    <w:rsid w:val="00B35DB0"/>
    <w:rsid w:val="00B37E6F"/>
    <w:rsid w:val="00B51169"/>
    <w:rsid w:val="00B521C0"/>
    <w:rsid w:val="00B95FAF"/>
    <w:rsid w:val="00BA294B"/>
    <w:rsid w:val="00BA2FCA"/>
    <w:rsid w:val="00BB597A"/>
    <w:rsid w:val="00BC0A80"/>
    <w:rsid w:val="00BD1943"/>
    <w:rsid w:val="00BF1B51"/>
    <w:rsid w:val="00BF4D46"/>
    <w:rsid w:val="00BF57D4"/>
    <w:rsid w:val="00BF75EC"/>
    <w:rsid w:val="00C1257C"/>
    <w:rsid w:val="00C21EB4"/>
    <w:rsid w:val="00C26AD1"/>
    <w:rsid w:val="00C5694C"/>
    <w:rsid w:val="00C73765"/>
    <w:rsid w:val="00C81FA5"/>
    <w:rsid w:val="00C82A58"/>
    <w:rsid w:val="00C82DEB"/>
    <w:rsid w:val="00CA490D"/>
    <w:rsid w:val="00CC1711"/>
    <w:rsid w:val="00CF3864"/>
    <w:rsid w:val="00D0288F"/>
    <w:rsid w:val="00D031AC"/>
    <w:rsid w:val="00D048A0"/>
    <w:rsid w:val="00D11367"/>
    <w:rsid w:val="00D115A9"/>
    <w:rsid w:val="00D14049"/>
    <w:rsid w:val="00D34F04"/>
    <w:rsid w:val="00D46DE0"/>
    <w:rsid w:val="00D540CA"/>
    <w:rsid w:val="00D54D34"/>
    <w:rsid w:val="00D7019B"/>
    <w:rsid w:val="00D76AEC"/>
    <w:rsid w:val="00D94FB6"/>
    <w:rsid w:val="00D96DC7"/>
    <w:rsid w:val="00DA349B"/>
    <w:rsid w:val="00DB374D"/>
    <w:rsid w:val="00DC20E2"/>
    <w:rsid w:val="00DD143A"/>
    <w:rsid w:val="00DD3652"/>
    <w:rsid w:val="00DF2039"/>
    <w:rsid w:val="00E12B32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E4640"/>
    <w:rsid w:val="00EF3D50"/>
    <w:rsid w:val="00F04DF9"/>
    <w:rsid w:val="00F0714B"/>
    <w:rsid w:val="00F143F2"/>
    <w:rsid w:val="00F27DB1"/>
    <w:rsid w:val="00F51913"/>
    <w:rsid w:val="00F53512"/>
    <w:rsid w:val="00F756BE"/>
    <w:rsid w:val="00F946A5"/>
    <w:rsid w:val="00FA11D5"/>
    <w:rsid w:val="00FA7497"/>
    <w:rsid w:val="00FB6B46"/>
    <w:rsid w:val="00FB6F27"/>
    <w:rsid w:val="00FC47F5"/>
    <w:rsid w:val="00FC77A2"/>
    <w:rsid w:val="00FE15CC"/>
    <w:rsid w:val="00FE4A31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xmsonormal">
    <w:name w:val="xxxmsonormal"/>
    <w:basedOn w:val="Normal"/>
    <w:rsid w:val="003A63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xgmail-apple-converted-space">
    <w:name w:val="x_gmail-apple-converted-space"/>
    <w:basedOn w:val="DefaultParagraphFont"/>
    <w:rsid w:val="00D7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47A3-5B64-499C-8640-1EA7B773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Max Fincher</cp:lastModifiedBy>
  <cp:revision>2</cp:revision>
  <cp:lastPrinted>2021-10-12T08:01:00Z</cp:lastPrinted>
  <dcterms:created xsi:type="dcterms:W3CDTF">2021-10-12T11:02:00Z</dcterms:created>
  <dcterms:modified xsi:type="dcterms:W3CDTF">2021-10-12T11:02:00Z</dcterms:modified>
</cp:coreProperties>
</file>