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CE" w:rsidRDefault="00E1162B" w:rsidP="00F325CB">
      <w:pPr>
        <w:jc w:val="both"/>
        <w:rPr>
          <w:rFonts w:ascii="Frutiger 45 Light" w:hAnsi="Frutiger 45 Light"/>
        </w:rPr>
      </w:pPr>
      <w:r>
        <w:rPr>
          <w:rFonts w:ascii="Frutiger 45 Light" w:hAnsi="Frutiger 45 Light"/>
          <w:noProof/>
        </w:rPr>
        <w:pict>
          <v:shapetype id="_x0000_t202" coordsize="21600,21600" o:spt="202" path="m,l,21600r21600,l21600,xe">
            <v:stroke joinstyle="miter"/>
            <v:path gradientshapeok="t" o:connecttype="rect"/>
          </v:shapetype>
          <v:shape id="_x0000_s1026" type="#_x0000_t202" style="position:absolute;left:0;text-align:left;margin-left:4pt;margin-top:23.65pt;width:469.3pt;height:154.3pt;z-index:251658240;mso-position-vertical-relative:page" filled="f" stroked="f">
            <v:textbox style="mso-next-textbox:#_x0000_s1026">
              <w:txbxContent>
                <w:p w:rsidR="00640DD0" w:rsidRDefault="00E1162B" w:rsidP="00CB45A4">
                  <w:pPr>
                    <w:jc w:val="right"/>
                    <w:rPr>
                      <w:sz w:val="12"/>
                    </w:rPr>
                  </w:pPr>
                  <w:r>
                    <w:rPr>
                      <w:noProof/>
                      <w:sz w:val="1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UCET_LOGO_FINAL" style="width:176.5pt;height:102.5pt;visibility:visible">
                        <v:imagedata r:id="rId8" o:title="UCET_LOGO_FINAL"/>
                      </v:shape>
                    </w:pict>
                  </w:r>
                  <w:r w:rsidR="00640DD0">
                    <w:rPr>
                      <w:sz w:val="12"/>
                    </w:rPr>
                    <w:tab/>
                    <w:t xml:space="preserve">                    </w:t>
                  </w:r>
                </w:p>
                <w:p w:rsidR="00640DD0" w:rsidRPr="00AB568E" w:rsidRDefault="00640DD0"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640DD0" w:rsidRPr="00CD5B23" w:rsidRDefault="00640DD0" w:rsidP="00AB568E">
                  <w:pPr>
                    <w:ind w:left="5760" w:firstLine="720"/>
                    <w:jc w:val="right"/>
                    <w:rPr>
                      <w:rFonts w:ascii="Arial" w:hAnsi="Arial"/>
                      <w:color w:val="1F497D"/>
                      <w:sz w:val="6"/>
                      <w:szCs w:val="6"/>
                    </w:rPr>
                  </w:pPr>
                </w:p>
                <w:p w:rsidR="00640DD0" w:rsidRPr="007F7A39" w:rsidRDefault="00640DD0"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Pr>
                      <w:rFonts w:ascii="Arial" w:hAnsi="Arial" w:cs="Arial"/>
                      <w:i/>
                      <w:color w:val="002060"/>
                      <w:sz w:val="16"/>
                      <w:szCs w:val="16"/>
                    </w:rPr>
                    <w:t>,</w:t>
                  </w:r>
                  <w:r w:rsidRPr="007F7A39">
                    <w:rPr>
                      <w:rFonts w:ascii="Arial" w:hAnsi="Arial" w:cs="Arial"/>
                      <w:i/>
                      <w:color w:val="002060"/>
                      <w:sz w:val="16"/>
                      <w:szCs w:val="16"/>
                    </w:rPr>
                    <w:t xml:space="preserve"> London WC1H 0EH</w:t>
                  </w:r>
                </w:p>
                <w:p w:rsidR="00640DD0" w:rsidRPr="007F7A39" w:rsidRDefault="00640DD0" w:rsidP="00AB568E">
                  <w:pPr>
                    <w:jc w:val="right"/>
                    <w:rPr>
                      <w:rFonts w:ascii="Arial" w:hAnsi="Arial" w:cs="Arial"/>
                      <w:i/>
                      <w:color w:val="002060"/>
                      <w:sz w:val="6"/>
                      <w:szCs w:val="6"/>
                    </w:rPr>
                  </w:pPr>
                </w:p>
                <w:p w:rsidR="00640DD0" w:rsidRPr="007F7A39" w:rsidRDefault="00640DD0"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640DD0" w:rsidRPr="007F7A39" w:rsidRDefault="00640DD0"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640DD0" w:rsidRDefault="00640DD0"/>
              </w:txbxContent>
            </v:textbox>
            <w10:wrap anchory="page"/>
          </v:shape>
        </w:pict>
      </w:r>
    </w:p>
    <w:p w:rsidR="004D22CE" w:rsidRDefault="00E1162B" w:rsidP="00F325CB">
      <w:pPr>
        <w:jc w:val="both"/>
        <w:rPr>
          <w:rFonts w:ascii="Frutiger 45 Light" w:hAnsi="Frutiger 45 Light"/>
        </w:rPr>
      </w:pPr>
      <w:r>
        <w:rPr>
          <w:rFonts w:ascii="Frutiger 45 Light" w:hAnsi="Frutiger 45 Light"/>
          <w:noProof/>
          <w:lang w:eastAsia="en-GB"/>
        </w:rPr>
        <w:pict>
          <v:shape id="_x0000_s1029" type="#_x0000_t202" style="position:absolute;left:0;text-align:left;margin-left:10.95pt;margin-top:4.05pt;width:229pt;height:36pt;z-index:251657216" stroked="f">
            <v:textbox>
              <w:txbxContent>
                <w:p w:rsidR="00640DD0" w:rsidRPr="00AB568E" w:rsidRDefault="00640DD0">
                  <w:pPr>
                    <w:rPr>
                      <w:rFonts w:ascii="Arial" w:hAnsi="Arial" w:cs="Arial"/>
                      <w:i/>
                      <w:color w:val="333399"/>
                    </w:rPr>
                  </w:pPr>
                  <w:r w:rsidRPr="00AB568E">
                    <w:rPr>
                      <w:rFonts w:ascii="Arial" w:hAnsi="Arial" w:cs="Arial"/>
                      <w:i/>
                      <w:color w:val="333399"/>
                    </w:rPr>
                    <w:t>Promoting Quality in Teacher Education</w:t>
                  </w:r>
                </w:p>
              </w:txbxContent>
            </v:textbox>
          </v:shape>
        </w:pic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640DD0" w:rsidRDefault="00640DD0" w:rsidP="00B6401E">
      <w:pPr>
        <w:jc w:val="center"/>
        <w:rPr>
          <w:rFonts w:ascii="Arial" w:hAnsi="Arial" w:cs="Arial"/>
          <w:b/>
          <w:sz w:val="20"/>
          <w:szCs w:val="20"/>
        </w:rPr>
      </w:pPr>
    </w:p>
    <w:p w:rsidR="00640DD0" w:rsidRDefault="00640DD0" w:rsidP="00640DD0">
      <w:pPr>
        <w:rPr>
          <w:rFonts w:ascii="Arial" w:hAnsi="Arial" w:cs="Arial"/>
          <w:sz w:val="20"/>
          <w:szCs w:val="20"/>
        </w:rPr>
      </w:pPr>
    </w:p>
    <w:p w:rsidR="00640DD0" w:rsidRDefault="008B7256" w:rsidP="00640DD0">
      <w:pPr>
        <w:rPr>
          <w:rFonts w:ascii="Arial" w:hAnsi="Arial" w:cs="Arial"/>
          <w:sz w:val="20"/>
          <w:szCs w:val="20"/>
        </w:rPr>
      </w:pPr>
      <w:r>
        <w:rPr>
          <w:rFonts w:ascii="Arial" w:hAnsi="Arial" w:cs="Arial"/>
          <w:sz w:val="20"/>
          <w:szCs w:val="20"/>
        </w:rPr>
        <w:t xml:space="preserve">5 </w:t>
      </w:r>
      <w:r w:rsidR="00922DA6">
        <w:rPr>
          <w:rFonts w:ascii="Arial" w:hAnsi="Arial" w:cs="Arial"/>
          <w:sz w:val="20"/>
          <w:szCs w:val="20"/>
        </w:rPr>
        <w:t>July 2021</w:t>
      </w:r>
    </w:p>
    <w:p w:rsidR="00BD3CA8" w:rsidRPr="000939C8" w:rsidRDefault="00BD3CA8" w:rsidP="00640DD0">
      <w:pPr>
        <w:rPr>
          <w:rFonts w:ascii="Arial" w:hAnsi="Arial" w:cs="Arial"/>
          <w:sz w:val="20"/>
          <w:szCs w:val="20"/>
        </w:rPr>
      </w:pPr>
    </w:p>
    <w:p w:rsidR="00640DD0" w:rsidRPr="000939C8" w:rsidRDefault="0088465F" w:rsidP="00640DD0">
      <w:pPr>
        <w:jc w:val="both"/>
        <w:rPr>
          <w:rFonts w:ascii="Arial" w:hAnsi="Arial" w:cs="Arial"/>
          <w:sz w:val="20"/>
          <w:szCs w:val="20"/>
        </w:rPr>
      </w:pPr>
      <w:r w:rsidRPr="000939C8">
        <w:rPr>
          <w:rFonts w:ascii="Arial" w:hAnsi="Arial" w:cs="Arial"/>
          <w:sz w:val="20"/>
          <w:szCs w:val="20"/>
        </w:rPr>
        <w:t xml:space="preserve">Rt. Hon </w:t>
      </w:r>
      <w:r w:rsidR="00922DA6">
        <w:rPr>
          <w:rFonts w:ascii="Arial" w:hAnsi="Arial" w:cs="Arial"/>
          <w:sz w:val="20"/>
          <w:szCs w:val="20"/>
        </w:rPr>
        <w:t>Gavin Williamson</w:t>
      </w:r>
      <w:r w:rsidR="00B73C3F">
        <w:rPr>
          <w:rFonts w:ascii="Arial" w:hAnsi="Arial" w:cs="Arial"/>
          <w:sz w:val="20"/>
          <w:szCs w:val="20"/>
        </w:rPr>
        <w:t xml:space="preserve"> </w:t>
      </w:r>
      <w:r w:rsidRPr="000939C8">
        <w:rPr>
          <w:rFonts w:ascii="Arial" w:hAnsi="Arial" w:cs="Arial"/>
          <w:sz w:val="20"/>
          <w:szCs w:val="20"/>
        </w:rPr>
        <w:t>MP</w:t>
      </w:r>
    </w:p>
    <w:p w:rsidR="00640DD0" w:rsidRPr="000939C8" w:rsidRDefault="0088465F" w:rsidP="00640DD0">
      <w:pPr>
        <w:jc w:val="both"/>
        <w:rPr>
          <w:rFonts w:ascii="Arial" w:hAnsi="Arial" w:cs="Arial"/>
          <w:sz w:val="20"/>
          <w:szCs w:val="20"/>
        </w:rPr>
      </w:pPr>
      <w:r w:rsidRPr="000939C8">
        <w:rPr>
          <w:rFonts w:ascii="Arial" w:hAnsi="Arial" w:cs="Arial"/>
          <w:sz w:val="20"/>
          <w:szCs w:val="20"/>
        </w:rPr>
        <w:t>Secretary of State for Education</w:t>
      </w:r>
    </w:p>
    <w:p w:rsidR="00640DD0" w:rsidRPr="000939C8" w:rsidRDefault="00640DD0" w:rsidP="00640DD0">
      <w:pPr>
        <w:jc w:val="both"/>
        <w:rPr>
          <w:rFonts w:ascii="Arial" w:hAnsi="Arial" w:cs="Arial"/>
          <w:sz w:val="20"/>
          <w:szCs w:val="20"/>
        </w:rPr>
      </w:pPr>
      <w:r w:rsidRPr="000939C8">
        <w:rPr>
          <w:rFonts w:ascii="Arial" w:hAnsi="Arial" w:cs="Arial"/>
          <w:sz w:val="20"/>
          <w:szCs w:val="20"/>
        </w:rPr>
        <w:t>Sanctuary Buildings</w:t>
      </w:r>
    </w:p>
    <w:p w:rsidR="00640DD0" w:rsidRPr="000939C8" w:rsidRDefault="00640DD0" w:rsidP="00640DD0">
      <w:pPr>
        <w:jc w:val="both"/>
        <w:rPr>
          <w:rFonts w:ascii="Arial" w:hAnsi="Arial" w:cs="Arial"/>
          <w:sz w:val="20"/>
          <w:szCs w:val="20"/>
        </w:rPr>
      </w:pPr>
      <w:r w:rsidRPr="000939C8">
        <w:rPr>
          <w:rFonts w:ascii="Arial" w:hAnsi="Arial" w:cs="Arial"/>
          <w:sz w:val="20"/>
          <w:szCs w:val="20"/>
        </w:rPr>
        <w:t>Great Smith Street</w:t>
      </w:r>
    </w:p>
    <w:p w:rsidR="00640DD0" w:rsidRPr="000939C8" w:rsidRDefault="00640DD0" w:rsidP="00640DD0">
      <w:pPr>
        <w:jc w:val="both"/>
        <w:rPr>
          <w:rFonts w:ascii="Arial" w:hAnsi="Arial" w:cs="Arial"/>
          <w:sz w:val="20"/>
          <w:szCs w:val="20"/>
        </w:rPr>
      </w:pPr>
      <w:r w:rsidRPr="000939C8">
        <w:rPr>
          <w:rFonts w:ascii="Arial" w:hAnsi="Arial" w:cs="Arial"/>
          <w:sz w:val="20"/>
          <w:szCs w:val="20"/>
        </w:rPr>
        <w:t>London SW1P 3BT</w:t>
      </w:r>
    </w:p>
    <w:p w:rsidR="00640DD0" w:rsidRPr="000939C8" w:rsidRDefault="00640DD0" w:rsidP="00640DD0">
      <w:pPr>
        <w:jc w:val="both"/>
        <w:rPr>
          <w:rFonts w:ascii="Arial" w:hAnsi="Arial" w:cs="Arial"/>
          <w:sz w:val="20"/>
          <w:szCs w:val="20"/>
        </w:rPr>
      </w:pPr>
    </w:p>
    <w:p w:rsidR="00640DD0" w:rsidRPr="000939C8" w:rsidRDefault="00640DD0" w:rsidP="00640DD0">
      <w:pPr>
        <w:rPr>
          <w:rFonts w:ascii="Arial" w:hAnsi="Arial" w:cs="Arial"/>
          <w:sz w:val="20"/>
          <w:szCs w:val="20"/>
        </w:rPr>
      </w:pPr>
    </w:p>
    <w:p w:rsidR="00640DD0" w:rsidRPr="000939C8" w:rsidRDefault="00640DD0" w:rsidP="00640DD0">
      <w:pPr>
        <w:rPr>
          <w:rFonts w:ascii="Arial" w:hAnsi="Arial" w:cs="Arial"/>
          <w:sz w:val="20"/>
          <w:szCs w:val="20"/>
        </w:rPr>
      </w:pPr>
    </w:p>
    <w:p w:rsidR="00640DD0" w:rsidRPr="000939C8" w:rsidRDefault="00640DD0" w:rsidP="00640DD0">
      <w:pPr>
        <w:rPr>
          <w:rFonts w:ascii="Arial" w:hAnsi="Arial" w:cs="Arial"/>
          <w:sz w:val="20"/>
          <w:szCs w:val="20"/>
        </w:rPr>
      </w:pPr>
    </w:p>
    <w:p w:rsidR="00640DD0" w:rsidRDefault="00640DD0" w:rsidP="00640DD0">
      <w:pPr>
        <w:rPr>
          <w:rFonts w:ascii="Arial" w:hAnsi="Arial" w:cs="Arial"/>
          <w:sz w:val="20"/>
          <w:szCs w:val="20"/>
        </w:rPr>
      </w:pPr>
      <w:r w:rsidRPr="000939C8">
        <w:rPr>
          <w:rFonts w:ascii="Arial" w:hAnsi="Arial" w:cs="Arial"/>
          <w:sz w:val="20"/>
          <w:szCs w:val="20"/>
        </w:rPr>
        <w:t xml:space="preserve">Dear </w:t>
      </w:r>
      <w:r w:rsidR="0088465F" w:rsidRPr="000939C8">
        <w:rPr>
          <w:rFonts w:ascii="Arial" w:hAnsi="Arial" w:cs="Arial"/>
          <w:sz w:val="20"/>
          <w:szCs w:val="20"/>
        </w:rPr>
        <w:t>Secretary of State,</w:t>
      </w:r>
    </w:p>
    <w:p w:rsidR="00922DA6" w:rsidRDefault="00922DA6" w:rsidP="00640DD0">
      <w:pPr>
        <w:rPr>
          <w:rFonts w:ascii="Arial" w:hAnsi="Arial" w:cs="Arial"/>
          <w:sz w:val="20"/>
          <w:szCs w:val="20"/>
        </w:rPr>
      </w:pPr>
    </w:p>
    <w:p w:rsidR="00922DA6" w:rsidRPr="00922DA6" w:rsidRDefault="00922DA6" w:rsidP="00640DD0">
      <w:pPr>
        <w:rPr>
          <w:rFonts w:ascii="Arial" w:hAnsi="Arial" w:cs="Arial"/>
          <w:b/>
          <w:sz w:val="20"/>
          <w:szCs w:val="20"/>
        </w:rPr>
      </w:pPr>
      <w:r>
        <w:rPr>
          <w:rFonts w:ascii="Arial" w:hAnsi="Arial" w:cs="Arial"/>
          <w:b/>
          <w:sz w:val="20"/>
          <w:szCs w:val="20"/>
        </w:rPr>
        <w:t>ITE Market Review</w:t>
      </w:r>
    </w:p>
    <w:p w:rsidR="00640DD0" w:rsidRPr="000939C8" w:rsidRDefault="00640DD0" w:rsidP="00640DD0">
      <w:pPr>
        <w:rPr>
          <w:rFonts w:ascii="Arial" w:hAnsi="Arial" w:cs="Arial"/>
          <w:sz w:val="20"/>
          <w:szCs w:val="20"/>
        </w:rPr>
      </w:pPr>
    </w:p>
    <w:p w:rsidR="00B73C3F" w:rsidRDefault="00922DA6" w:rsidP="00AC15F9">
      <w:pPr>
        <w:rPr>
          <w:rFonts w:ascii="Arial" w:hAnsi="Arial" w:cs="Arial"/>
          <w:sz w:val="20"/>
          <w:szCs w:val="20"/>
        </w:rPr>
      </w:pPr>
      <w:r>
        <w:rPr>
          <w:rFonts w:ascii="Arial" w:hAnsi="Arial" w:cs="Arial"/>
          <w:sz w:val="20"/>
          <w:szCs w:val="20"/>
        </w:rPr>
        <w:t>We are writing to express our concern about the implications of</w:t>
      </w:r>
      <w:r w:rsidR="00263947">
        <w:rPr>
          <w:rFonts w:ascii="Arial" w:hAnsi="Arial" w:cs="Arial"/>
          <w:sz w:val="20"/>
          <w:szCs w:val="20"/>
        </w:rPr>
        <w:t xml:space="preserve"> some</w:t>
      </w:r>
      <w:r>
        <w:rPr>
          <w:rFonts w:ascii="Arial" w:hAnsi="Arial" w:cs="Arial"/>
          <w:sz w:val="20"/>
          <w:szCs w:val="20"/>
        </w:rPr>
        <w:t xml:space="preserve"> of the recommendations outlined in the consultation on the ITE Market Review published </w:t>
      </w:r>
      <w:r w:rsidR="008B7256">
        <w:rPr>
          <w:rFonts w:ascii="Arial" w:hAnsi="Arial" w:cs="Arial"/>
          <w:sz w:val="20"/>
          <w:szCs w:val="20"/>
        </w:rPr>
        <w:t>earlier today</w:t>
      </w:r>
      <w:r>
        <w:rPr>
          <w:rFonts w:ascii="Arial" w:hAnsi="Arial" w:cs="Arial"/>
          <w:sz w:val="20"/>
          <w:szCs w:val="20"/>
        </w:rPr>
        <w:t xml:space="preserve">. </w:t>
      </w:r>
      <w:r w:rsidR="00B73C3F">
        <w:rPr>
          <w:rFonts w:ascii="Arial" w:hAnsi="Arial" w:cs="Arial"/>
          <w:sz w:val="20"/>
          <w:szCs w:val="20"/>
        </w:rPr>
        <w:t xml:space="preserve"> </w:t>
      </w:r>
      <w:r w:rsidR="00584E0C">
        <w:rPr>
          <w:rFonts w:ascii="Arial" w:hAnsi="Arial" w:cs="Arial"/>
          <w:sz w:val="20"/>
          <w:szCs w:val="20"/>
        </w:rPr>
        <w:t>We have made a number of these points during earl</w:t>
      </w:r>
      <w:r w:rsidR="00995519">
        <w:rPr>
          <w:rFonts w:ascii="Arial" w:hAnsi="Arial" w:cs="Arial"/>
          <w:sz w:val="20"/>
          <w:szCs w:val="20"/>
        </w:rPr>
        <w:t xml:space="preserve">ier discussions, but they do not </w:t>
      </w:r>
      <w:r w:rsidR="00584E0C">
        <w:rPr>
          <w:rFonts w:ascii="Arial" w:hAnsi="Arial" w:cs="Arial"/>
          <w:sz w:val="20"/>
          <w:szCs w:val="20"/>
        </w:rPr>
        <w:t xml:space="preserve">seem to be reflected in the published proposals. </w:t>
      </w:r>
    </w:p>
    <w:p w:rsidR="00922DA6" w:rsidRDefault="00922DA6" w:rsidP="00AC15F9">
      <w:pPr>
        <w:rPr>
          <w:rFonts w:ascii="Arial" w:hAnsi="Arial" w:cs="Arial"/>
          <w:sz w:val="20"/>
          <w:szCs w:val="20"/>
        </w:rPr>
      </w:pPr>
    </w:p>
    <w:p w:rsidR="00922DA6" w:rsidRDefault="00922DA6" w:rsidP="00AC15F9">
      <w:pPr>
        <w:rPr>
          <w:rFonts w:ascii="Arial" w:hAnsi="Arial" w:cs="Arial"/>
          <w:sz w:val="20"/>
          <w:szCs w:val="20"/>
        </w:rPr>
      </w:pPr>
      <w:r>
        <w:rPr>
          <w:rFonts w:ascii="Arial" w:hAnsi="Arial" w:cs="Arial"/>
          <w:sz w:val="20"/>
          <w:szCs w:val="20"/>
        </w:rPr>
        <w:t xml:space="preserve">There are parts of the Market Review </w:t>
      </w:r>
      <w:r w:rsidR="008B7256">
        <w:rPr>
          <w:rFonts w:ascii="Arial" w:hAnsi="Arial" w:cs="Arial"/>
          <w:sz w:val="20"/>
          <w:szCs w:val="20"/>
        </w:rPr>
        <w:t>report</w:t>
      </w:r>
      <w:r w:rsidR="00776802">
        <w:rPr>
          <w:rFonts w:ascii="Arial" w:hAnsi="Arial" w:cs="Arial"/>
          <w:sz w:val="20"/>
          <w:szCs w:val="20"/>
        </w:rPr>
        <w:t xml:space="preserve"> </w:t>
      </w:r>
      <w:r>
        <w:rPr>
          <w:rFonts w:ascii="Arial" w:hAnsi="Arial" w:cs="Arial"/>
          <w:sz w:val="20"/>
          <w:szCs w:val="20"/>
        </w:rPr>
        <w:t>which we are pleased to support</w:t>
      </w:r>
      <w:r w:rsidR="008B7256">
        <w:rPr>
          <w:rFonts w:ascii="Arial" w:hAnsi="Arial" w:cs="Arial"/>
          <w:sz w:val="20"/>
          <w:szCs w:val="20"/>
        </w:rPr>
        <w:t xml:space="preserve"> and we look forward to working with DfE on their implementation</w:t>
      </w:r>
      <w:r>
        <w:rPr>
          <w:rFonts w:ascii="Arial" w:hAnsi="Arial" w:cs="Arial"/>
          <w:sz w:val="20"/>
          <w:szCs w:val="20"/>
        </w:rPr>
        <w:t xml:space="preserve">. For example, we agree that: ITE programmes should be informed by the most up to date and robust research; </w:t>
      </w:r>
      <w:r w:rsidR="006643B9">
        <w:rPr>
          <w:rFonts w:ascii="Arial" w:hAnsi="Arial" w:cs="Arial"/>
          <w:sz w:val="20"/>
          <w:szCs w:val="20"/>
        </w:rPr>
        <w:t xml:space="preserve">that </w:t>
      </w:r>
      <w:r>
        <w:rPr>
          <w:rFonts w:ascii="Arial" w:hAnsi="Arial" w:cs="Arial"/>
          <w:sz w:val="20"/>
          <w:szCs w:val="20"/>
        </w:rPr>
        <w:t>there should as far as possible be consistency between ITE curricula and the experience of student teachers in school; and that mentors should have a key role in the delivery of ITE programmes and should be both properly trained and adequately resourced. We also acknowledge that government, or another regulatory authority</w:t>
      </w:r>
      <w:r w:rsidR="00776802">
        <w:rPr>
          <w:rFonts w:ascii="Arial" w:hAnsi="Arial" w:cs="Arial"/>
          <w:sz w:val="20"/>
          <w:szCs w:val="20"/>
        </w:rPr>
        <w:t>,</w:t>
      </w:r>
      <w:r>
        <w:rPr>
          <w:rFonts w:ascii="Arial" w:hAnsi="Arial" w:cs="Arial"/>
          <w:sz w:val="20"/>
          <w:szCs w:val="20"/>
        </w:rPr>
        <w:t xml:space="preserve"> has both a right and responsibility to hold ITE providers to account and to ensure a measure of consistency, although not uniformity, in the way that new teachers are trained and educated.</w:t>
      </w:r>
    </w:p>
    <w:p w:rsidR="00922DA6" w:rsidRDefault="00922DA6" w:rsidP="00AC15F9">
      <w:pPr>
        <w:rPr>
          <w:rFonts w:ascii="Arial" w:hAnsi="Arial" w:cs="Arial"/>
          <w:sz w:val="20"/>
          <w:szCs w:val="20"/>
        </w:rPr>
      </w:pPr>
    </w:p>
    <w:p w:rsidR="00922DA6" w:rsidRDefault="00922DA6" w:rsidP="00AC15F9">
      <w:pPr>
        <w:rPr>
          <w:rFonts w:ascii="Arial" w:hAnsi="Arial" w:cs="Arial"/>
          <w:sz w:val="20"/>
          <w:szCs w:val="20"/>
        </w:rPr>
      </w:pPr>
      <w:r>
        <w:rPr>
          <w:rFonts w:ascii="Arial" w:hAnsi="Arial" w:cs="Arial"/>
          <w:sz w:val="20"/>
          <w:szCs w:val="20"/>
        </w:rPr>
        <w:t>We do however have a number of concerns about</w:t>
      </w:r>
      <w:r w:rsidR="00CD3DBD">
        <w:rPr>
          <w:rFonts w:ascii="Arial" w:hAnsi="Arial" w:cs="Arial"/>
          <w:sz w:val="20"/>
          <w:szCs w:val="20"/>
        </w:rPr>
        <w:t>:</w:t>
      </w:r>
      <w:r>
        <w:rPr>
          <w:rFonts w:ascii="Arial" w:hAnsi="Arial" w:cs="Arial"/>
          <w:sz w:val="20"/>
          <w:szCs w:val="20"/>
        </w:rPr>
        <w:t xml:space="preserve"> the </w:t>
      </w:r>
      <w:r w:rsidR="00CD3DBD">
        <w:rPr>
          <w:rFonts w:ascii="Arial" w:hAnsi="Arial" w:cs="Arial"/>
          <w:sz w:val="20"/>
          <w:szCs w:val="20"/>
        </w:rPr>
        <w:t>resource implications of what is being proposed; the planned timescales; the impact on teacher supply; the implications for established ITE partnerships; and the status of the teaching profession. We also do not understand why the Review Group’s suggestions on the content and structure of ITE programmes could not be achieved through changes to the existing ITE criteria without going through the turmoil and risks that a wholesale rest</w:t>
      </w:r>
      <w:r w:rsidR="00776802">
        <w:rPr>
          <w:rFonts w:ascii="Arial" w:hAnsi="Arial" w:cs="Arial"/>
          <w:sz w:val="20"/>
          <w:szCs w:val="20"/>
        </w:rPr>
        <w:t xml:space="preserve">ructuring </w:t>
      </w:r>
      <w:r w:rsidR="00CD3DBD">
        <w:rPr>
          <w:rFonts w:ascii="Arial" w:hAnsi="Arial" w:cs="Arial"/>
          <w:sz w:val="20"/>
          <w:szCs w:val="20"/>
        </w:rPr>
        <w:t xml:space="preserve">of the ITE market would </w:t>
      </w:r>
      <w:r w:rsidR="00776802">
        <w:rPr>
          <w:rFonts w:ascii="Arial" w:hAnsi="Arial" w:cs="Arial"/>
          <w:sz w:val="20"/>
          <w:szCs w:val="20"/>
        </w:rPr>
        <w:t>entail</w:t>
      </w:r>
      <w:r w:rsidR="00CD3DBD">
        <w:rPr>
          <w:rFonts w:ascii="Arial" w:hAnsi="Arial" w:cs="Arial"/>
          <w:sz w:val="20"/>
          <w:szCs w:val="20"/>
        </w:rPr>
        <w:t xml:space="preserve">. </w:t>
      </w:r>
    </w:p>
    <w:p w:rsidR="00CD3DBD" w:rsidRDefault="00CD3DBD" w:rsidP="00AC15F9">
      <w:pPr>
        <w:rPr>
          <w:rFonts w:ascii="Arial" w:hAnsi="Arial" w:cs="Arial"/>
          <w:sz w:val="20"/>
          <w:szCs w:val="20"/>
        </w:rPr>
      </w:pPr>
    </w:p>
    <w:p w:rsidR="00CD3DBD" w:rsidRDefault="00CD3DBD" w:rsidP="00AC15F9">
      <w:pPr>
        <w:rPr>
          <w:rFonts w:ascii="Arial" w:hAnsi="Arial" w:cs="Arial"/>
          <w:sz w:val="20"/>
          <w:szCs w:val="20"/>
        </w:rPr>
      </w:pPr>
      <w:r>
        <w:rPr>
          <w:rFonts w:ascii="Arial" w:hAnsi="Arial" w:cs="Arial"/>
          <w:sz w:val="20"/>
          <w:szCs w:val="20"/>
        </w:rPr>
        <w:t>The proposals in the consultation document are not costed. And yet there will be significant resource implications. For example, increasing the amount of time student teachers spend in school will clearly place an extra burden on partner schools. It will also make it more difficult to ensure c</w:t>
      </w:r>
      <w:r w:rsidR="00767A8C">
        <w:rPr>
          <w:rFonts w:ascii="Arial" w:hAnsi="Arial" w:cs="Arial"/>
          <w:sz w:val="20"/>
          <w:szCs w:val="20"/>
        </w:rPr>
        <w:t>onsistency and equ</w:t>
      </w:r>
      <w:r w:rsidR="00263947">
        <w:rPr>
          <w:rFonts w:ascii="Arial" w:hAnsi="Arial" w:cs="Arial"/>
          <w:sz w:val="20"/>
          <w:szCs w:val="20"/>
        </w:rPr>
        <w:t>ity</w:t>
      </w:r>
      <w:r w:rsidR="00767A8C">
        <w:rPr>
          <w:rFonts w:ascii="Arial" w:hAnsi="Arial" w:cs="Arial"/>
          <w:sz w:val="20"/>
          <w:szCs w:val="20"/>
        </w:rPr>
        <w:t>, something which the review group itself recognises as being importa</w:t>
      </w:r>
      <w:r w:rsidR="006643B9">
        <w:rPr>
          <w:rFonts w:ascii="Arial" w:hAnsi="Arial" w:cs="Arial"/>
          <w:sz w:val="20"/>
          <w:szCs w:val="20"/>
        </w:rPr>
        <w:t xml:space="preserve">nt. The proposal to ensure </w:t>
      </w:r>
      <w:r w:rsidR="00767A8C">
        <w:rPr>
          <w:rFonts w:ascii="Arial" w:hAnsi="Arial" w:cs="Arial"/>
          <w:sz w:val="20"/>
          <w:szCs w:val="20"/>
        </w:rPr>
        <w:t xml:space="preserve">student teachers receive minimum levels of mentor support, and that lead mentors have an entitlement to proper training (both things that we welcome in principle), will also cost money. The increase in the length of </w:t>
      </w:r>
      <w:r w:rsidR="00532057">
        <w:rPr>
          <w:rFonts w:ascii="Arial" w:hAnsi="Arial" w:cs="Arial"/>
          <w:sz w:val="20"/>
          <w:szCs w:val="20"/>
        </w:rPr>
        <w:t xml:space="preserve">postgraduate </w:t>
      </w:r>
      <w:r w:rsidR="00767A8C">
        <w:rPr>
          <w:rFonts w:ascii="Arial" w:hAnsi="Arial" w:cs="Arial"/>
          <w:sz w:val="20"/>
          <w:szCs w:val="20"/>
        </w:rPr>
        <w:t>ITE progr</w:t>
      </w:r>
      <w:r w:rsidR="00263947">
        <w:rPr>
          <w:rFonts w:ascii="Arial" w:hAnsi="Arial" w:cs="Arial"/>
          <w:sz w:val="20"/>
          <w:szCs w:val="20"/>
        </w:rPr>
        <w:t xml:space="preserve">ammes to 38 weeks will </w:t>
      </w:r>
      <w:r w:rsidR="00767A8C">
        <w:rPr>
          <w:rFonts w:ascii="Arial" w:hAnsi="Arial" w:cs="Arial"/>
          <w:sz w:val="20"/>
          <w:szCs w:val="20"/>
        </w:rPr>
        <w:t>have cost implications for providers</w:t>
      </w:r>
      <w:r w:rsidR="00DF00D6">
        <w:rPr>
          <w:rFonts w:ascii="Arial" w:hAnsi="Arial" w:cs="Arial"/>
          <w:sz w:val="20"/>
          <w:szCs w:val="20"/>
        </w:rPr>
        <w:t>, despite the fact that ITE is already underfunded when compared to programmes for other professionals</w:t>
      </w:r>
      <w:r w:rsidR="00767A8C">
        <w:rPr>
          <w:rFonts w:ascii="Arial" w:hAnsi="Arial" w:cs="Arial"/>
          <w:sz w:val="20"/>
          <w:szCs w:val="20"/>
        </w:rPr>
        <w:t xml:space="preserve">. </w:t>
      </w:r>
      <w:r w:rsidR="00532057">
        <w:rPr>
          <w:rFonts w:ascii="Arial" w:hAnsi="Arial" w:cs="Arial"/>
          <w:sz w:val="20"/>
          <w:szCs w:val="20"/>
        </w:rPr>
        <w:t>Prop</w:t>
      </w:r>
      <w:r w:rsidR="00584E0C">
        <w:rPr>
          <w:rFonts w:ascii="Arial" w:hAnsi="Arial" w:cs="Arial"/>
          <w:sz w:val="20"/>
          <w:szCs w:val="20"/>
        </w:rPr>
        <w:t>o</w:t>
      </w:r>
      <w:r w:rsidR="00532057">
        <w:rPr>
          <w:rFonts w:ascii="Arial" w:hAnsi="Arial" w:cs="Arial"/>
          <w:sz w:val="20"/>
          <w:szCs w:val="20"/>
        </w:rPr>
        <w:t xml:space="preserve">sals relating to undergraduate programmes will also cost money. </w:t>
      </w:r>
      <w:r w:rsidR="00767A8C">
        <w:rPr>
          <w:rFonts w:ascii="Arial" w:hAnsi="Arial" w:cs="Arial"/>
          <w:sz w:val="20"/>
          <w:szCs w:val="20"/>
        </w:rPr>
        <w:t xml:space="preserve">The cost </w:t>
      </w:r>
      <w:r w:rsidR="00263947">
        <w:rPr>
          <w:rFonts w:ascii="Arial" w:hAnsi="Arial" w:cs="Arial"/>
          <w:sz w:val="20"/>
          <w:szCs w:val="20"/>
        </w:rPr>
        <w:t>to</w:t>
      </w:r>
      <w:r w:rsidR="00767A8C">
        <w:rPr>
          <w:rFonts w:ascii="Arial" w:hAnsi="Arial" w:cs="Arial"/>
          <w:sz w:val="20"/>
          <w:szCs w:val="20"/>
        </w:rPr>
        <w:t xml:space="preserve"> c</w:t>
      </w:r>
      <w:r w:rsidR="00263947">
        <w:rPr>
          <w:rFonts w:ascii="Arial" w:hAnsi="Arial" w:cs="Arial"/>
          <w:sz w:val="20"/>
          <w:szCs w:val="20"/>
        </w:rPr>
        <w:t xml:space="preserve">entral government of </w:t>
      </w:r>
      <w:r w:rsidR="00767A8C">
        <w:rPr>
          <w:rFonts w:ascii="Arial" w:hAnsi="Arial" w:cs="Arial"/>
          <w:sz w:val="20"/>
          <w:szCs w:val="20"/>
        </w:rPr>
        <w:t>an intensive accreditation process</w:t>
      </w:r>
      <w:r w:rsidR="008B7256">
        <w:rPr>
          <w:rFonts w:ascii="Arial" w:hAnsi="Arial" w:cs="Arial"/>
          <w:sz w:val="20"/>
          <w:szCs w:val="20"/>
        </w:rPr>
        <w:t xml:space="preserve"> </w:t>
      </w:r>
      <w:r w:rsidR="00767A8C">
        <w:rPr>
          <w:rFonts w:ascii="Arial" w:hAnsi="Arial" w:cs="Arial"/>
          <w:sz w:val="20"/>
          <w:szCs w:val="20"/>
        </w:rPr>
        <w:t xml:space="preserve">should also have been set out in the report. </w:t>
      </w:r>
    </w:p>
    <w:p w:rsidR="00767A8C" w:rsidRDefault="00767A8C" w:rsidP="00AC15F9">
      <w:pPr>
        <w:rPr>
          <w:rFonts w:ascii="Arial" w:hAnsi="Arial" w:cs="Arial"/>
          <w:sz w:val="20"/>
          <w:szCs w:val="20"/>
        </w:rPr>
      </w:pPr>
    </w:p>
    <w:p w:rsidR="00767A8C" w:rsidRDefault="00767A8C" w:rsidP="00AC15F9">
      <w:pPr>
        <w:rPr>
          <w:rFonts w:ascii="Arial" w:hAnsi="Arial" w:cs="Arial"/>
          <w:sz w:val="20"/>
          <w:szCs w:val="20"/>
        </w:rPr>
      </w:pPr>
      <w:r>
        <w:rPr>
          <w:rFonts w:ascii="Arial" w:hAnsi="Arial" w:cs="Arial"/>
          <w:sz w:val="20"/>
          <w:szCs w:val="20"/>
        </w:rPr>
        <w:t>The planned timescales, especially if ITE providers have to go through an u</w:t>
      </w:r>
      <w:r w:rsidR="00806C1F">
        <w:rPr>
          <w:rFonts w:ascii="Arial" w:hAnsi="Arial" w:cs="Arial"/>
          <w:sz w:val="20"/>
          <w:szCs w:val="20"/>
        </w:rPr>
        <w:t>nnecessary accreditation proced</w:t>
      </w:r>
      <w:r w:rsidR="00263947">
        <w:rPr>
          <w:rFonts w:ascii="Arial" w:hAnsi="Arial" w:cs="Arial"/>
          <w:sz w:val="20"/>
          <w:szCs w:val="20"/>
        </w:rPr>
        <w:t>ure</w:t>
      </w:r>
      <w:r>
        <w:rPr>
          <w:rFonts w:ascii="Arial" w:hAnsi="Arial" w:cs="Arial"/>
          <w:sz w:val="20"/>
          <w:szCs w:val="20"/>
        </w:rPr>
        <w:t xml:space="preserve">, are unreasonable. It </w:t>
      </w:r>
      <w:r w:rsidR="00995519">
        <w:rPr>
          <w:rFonts w:ascii="Arial" w:hAnsi="Arial" w:cs="Arial"/>
          <w:sz w:val="20"/>
          <w:szCs w:val="20"/>
        </w:rPr>
        <w:t xml:space="preserve">can easily take 9 </w:t>
      </w:r>
      <w:r>
        <w:rPr>
          <w:rFonts w:ascii="Arial" w:hAnsi="Arial" w:cs="Arial"/>
          <w:sz w:val="20"/>
          <w:szCs w:val="20"/>
        </w:rPr>
        <w:t xml:space="preserve">months for programmes offered by universities to </w:t>
      </w:r>
      <w:r w:rsidR="006643B9">
        <w:rPr>
          <w:rFonts w:ascii="Arial" w:hAnsi="Arial" w:cs="Arial"/>
          <w:sz w:val="20"/>
          <w:szCs w:val="20"/>
        </w:rPr>
        <w:t xml:space="preserve">be designed, consulted upon and </w:t>
      </w:r>
      <w:r>
        <w:rPr>
          <w:rFonts w:ascii="Arial" w:hAnsi="Arial" w:cs="Arial"/>
          <w:sz w:val="20"/>
          <w:szCs w:val="20"/>
        </w:rPr>
        <w:t xml:space="preserve">go through revalidation processes. Programme details must, under CMA regulation, be </w:t>
      </w:r>
      <w:r w:rsidR="004B6F30">
        <w:rPr>
          <w:rFonts w:ascii="Arial" w:hAnsi="Arial" w:cs="Arial"/>
          <w:sz w:val="20"/>
          <w:szCs w:val="20"/>
        </w:rPr>
        <w:t>p</w:t>
      </w:r>
      <w:r>
        <w:rPr>
          <w:rFonts w:ascii="Arial" w:hAnsi="Arial" w:cs="Arial"/>
          <w:sz w:val="20"/>
          <w:szCs w:val="20"/>
        </w:rPr>
        <w:t xml:space="preserve">ublished before students apply for </w:t>
      </w:r>
      <w:r w:rsidR="004B6F30">
        <w:rPr>
          <w:rFonts w:ascii="Arial" w:hAnsi="Arial" w:cs="Arial"/>
          <w:sz w:val="20"/>
          <w:szCs w:val="20"/>
        </w:rPr>
        <w:t>courses. Further information about this has been shared with y</w:t>
      </w:r>
      <w:r w:rsidR="00776802">
        <w:rPr>
          <w:rFonts w:ascii="Arial" w:hAnsi="Arial" w:cs="Arial"/>
          <w:sz w:val="20"/>
          <w:szCs w:val="20"/>
        </w:rPr>
        <w:t>our officials. It</w:t>
      </w:r>
      <w:r w:rsidR="004B6F30">
        <w:rPr>
          <w:rFonts w:ascii="Arial" w:hAnsi="Arial" w:cs="Arial"/>
          <w:sz w:val="20"/>
          <w:szCs w:val="20"/>
        </w:rPr>
        <w:t xml:space="preserve"> must be taken </w:t>
      </w:r>
      <w:r w:rsidR="006643B9">
        <w:rPr>
          <w:rFonts w:ascii="Arial" w:hAnsi="Arial" w:cs="Arial"/>
          <w:sz w:val="20"/>
          <w:szCs w:val="20"/>
        </w:rPr>
        <w:t xml:space="preserve">properly </w:t>
      </w:r>
      <w:r w:rsidR="004B6F30">
        <w:rPr>
          <w:rFonts w:ascii="Arial" w:hAnsi="Arial" w:cs="Arial"/>
          <w:sz w:val="20"/>
          <w:szCs w:val="20"/>
        </w:rPr>
        <w:t xml:space="preserve">into account before any plans are finalised. </w:t>
      </w:r>
    </w:p>
    <w:p w:rsidR="004B6F30" w:rsidRDefault="004B6F30" w:rsidP="00AC15F9">
      <w:pPr>
        <w:rPr>
          <w:rFonts w:ascii="Arial" w:hAnsi="Arial" w:cs="Arial"/>
          <w:sz w:val="20"/>
          <w:szCs w:val="20"/>
        </w:rPr>
      </w:pPr>
    </w:p>
    <w:p w:rsidR="004B6F30" w:rsidRDefault="004B6F30" w:rsidP="00AC15F9">
      <w:pPr>
        <w:rPr>
          <w:rFonts w:ascii="Arial" w:hAnsi="Arial" w:cs="Arial"/>
          <w:sz w:val="20"/>
          <w:szCs w:val="20"/>
        </w:rPr>
      </w:pPr>
      <w:r>
        <w:rPr>
          <w:rFonts w:ascii="Arial" w:hAnsi="Arial" w:cs="Arial"/>
          <w:sz w:val="20"/>
          <w:szCs w:val="20"/>
        </w:rPr>
        <w:lastRenderedPageBreak/>
        <w:t xml:space="preserve">There are potentially huge implications for teacher supply at a time when it is clear that the boost to ITE recruitment resulting from the pandemic is coming to an end. The current </w:t>
      </w:r>
      <w:r w:rsidR="005A0450">
        <w:rPr>
          <w:rFonts w:ascii="Arial" w:hAnsi="Arial" w:cs="Arial"/>
          <w:sz w:val="20"/>
          <w:szCs w:val="20"/>
        </w:rPr>
        <w:t xml:space="preserve">organisational </w:t>
      </w:r>
      <w:r>
        <w:rPr>
          <w:rFonts w:ascii="Arial" w:hAnsi="Arial" w:cs="Arial"/>
          <w:sz w:val="20"/>
          <w:szCs w:val="20"/>
        </w:rPr>
        <w:t>structure has been extremely</w:t>
      </w:r>
      <w:r w:rsidR="00776802">
        <w:rPr>
          <w:rFonts w:ascii="Arial" w:hAnsi="Arial" w:cs="Arial"/>
          <w:sz w:val="20"/>
          <w:szCs w:val="20"/>
        </w:rPr>
        <w:t xml:space="preserve"> effective </w:t>
      </w:r>
      <w:r>
        <w:rPr>
          <w:rFonts w:ascii="Arial" w:hAnsi="Arial" w:cs="Arial"/>
          <w:sz w:val="20"/>
          <w:szCs w:val="20"/>
        </w:rPr>
        <w:t>in supply</w:t>
      </w:r>
      <w:r w:rsidR="00776802">
        <w:rPr>
          <w:rFonts w:ascii="Arial" w:hAnsi="Arial" w:cs="Arial"/>
          <w:sz w:val="20"/>
          <w:szCs w:val="20"/>
        </w:rPr>
        <w:t>ing</w:t>
      </w:r>
      <w:r w:rsidR="006643B9">
        <w:rPr>
          <w:rFonts w:ascii="Arial" w:hAnsi="Arial" w:cs="Arial"/>
          <w:sz w:val="20"/>
          <w:szCs w:val="20"/>
        </w:rPr>
        <w:t xml:space="preserve"> this country’s schools </w:t>
      </w:r>
      <w:r w:rsidR="005A0450">
        <w:rPr>
          <w:rFonts w:ascii="Arial" w:hAnsi="Arial" w:cs="Arial"/>
          <w:sz w:val="20"/>
          <w:szCs w:val="20"/>
        </w:rPr>
        <w:t xml:space="preserve">with a </w:t>
      </w:r>
      <w:r w:rsidR="006643B9">
        <w:rPr>
          <w:rFonts w:ascii="Arial" w:hAnsi="Arial" w:cs="Arial"/>
          <w:sz w:val="20"/>
          <w:szCs w:val="20"/>
        </w:rPr>
        <w:t>large number</w:t>
      </w:r>
      <w:r w:rsidR="005A0450">
        <w:rPr>
          <w:rFonts w:ascii="Arial" w:hAnsi="Arial" w:cs="Arial"/>
          <w:sz w:val="20"/>
          <w:szCs w:val="20"/>
        </w:rPr>
        <w:t xml:space="preserve"> and diverse range </w:t>
      </w:r>
      <w:r w:rsidR="006643B9">
        <w:rPr>
          <w:rFonts w:ascii="Arial" w:hAnsi="Arial" w:cs="Arial"/>
          <w:sz w:val="20"/>
          <w:szCs w:val="20"/>
        </w:rPr>
        <w:t xml:space="preserve">of </w:t>
      </w:r>
      <w:r>
        <w:rPr>
          <w:rFonts w:ascii="Arial" w:hAnsi="Arial" w:cs="Arial"/>
          <w:sz w:val="20"/>
          <w:szCs w:val="20"/>
        </w:rPr>
        <w:t xml:space="preserve">new </w:t>
      </w:r>
      <w:r w:rsidR="005A0450">
        <w:rPr>
          <w:rFonts w:ascii="Arial" w:hAnsi="Arial" w:cs="Arial"/>
          <w:sz w:val="20"/>
          <w:szCs w:val="20"/>
        </w:rPr>
        <w:t xml:space="preserve">teachers each year. This </w:t>
      </w:r>
      <w:r>
        <w:rPr>
          <w:rFonts w:ascii="Arial" w:hAnsi="Arial" w:cs="Arial"/>
          <w:sz w:val="20"/>
          <w:szCs w:val="20"/>
        </w:rPr>
        <w:t>should not be pu</w:t>
      </w:r>
      <w:r w:rsidR="005A0450">
        <w:rPr>
          <w:rFonts w:ascii="Arial" w:hAnsi="Arial" w:cs="Arial"/>
          <w:sz w:val="20"/>
          <w:szCs w:val="20"/>
        </w:rPr>
        <w:t>t at risk. O</w:t>
      </w:r>
      <w:r>
        <w:rPr>
          <w:rFonts w:ascii="Arial" w:hAnsi="Arial" w:cs="Arial"/>
          <w:sz w:val="20"/>
          <w:szCs w:val="20"/>
        </w:rPr>
        <w:t xml:space="preserve">ne of the key factors in determining an applicant’s choice of ITE provider is location. If </w:t>
      </w:r>
      <w:r w:rsidR="009646FE">
        <w:rPr>
          <w:rFonts w:ascii="Arial" w:hAnsi="Arial" w:cs="Arial"/>
          <w:sz w:val="20"/>
          <w:szCs w:val="20"/>
        </w:rPr>
        <w:t xml:space="preserve">SCITT and HEI </w:t>
      </w:r>
      <w:r>
        <w:rPr>
          <w:rFonts w:ascii="Arial" w:hAnsi="Arial" w:cs="Arial"/>
          <w:sz w:val="20"/>
          <w:szCs w:val="20"/>
        </w:rPr>
        <w:t xml:space="preserve">providers are forced out of the market </w:t>
      </w:r>
      <w:r w:rsidR="009646FE">
        <w:rPr>
          <w:rFonts w:ascii="Arial" w:hAnsi="Arial" w:cs="Arial"/>
          <w:sz w:val="20"/>
          <w:szCs w:val="20"/>
        </w:rPr>
        <w:t xml:space="preserve">(e.g. because of expectations in terms of scale) </w:t>
      </w:r>
      <w:r>
        <w:rPr>
          <w:rFonts w:ascii="Arial" w:hAnsi="Arial" w:cs="Arial"/>
          <w:sz w:val="20"/>
          <w:szCs w:val="20"/>
        </w:rPr>
        <w:t>some potentially exc</w:t>
      </w:r>
      <w:r w:rsidR="005A0450">
        <w:rPr>
          <w:rFonts w:ascii="Arial" w:hAnsi="Arial" w:cs="Arial"/>
          <w:sz w:val="20"/>
          <w:szCs w:val="20"/>
        </w:rPr>
        <w:t>ellent teachers will be lost. The u</w:t>
      </w:r>
      <w:r>
        <w:rPr>
          <w:rFonts w:ascii="Arial" w:hAnsi="Arial" w:cs="Arial"/>
          <w:sz w:val="20"/>
          <w:szCs w:val="20"/>
        </w:rPr>
        <w:t>ncertainty associated with accreditation and reaccredit</w:t>
      </w:r>
      <w:r w:rsidR="005A0450">
        <w:rPr>
          <w:rFonts w:ascii="Arial" w:hAnsi="Arial" w:cs="Arial"/>
          <w:sz w:val="20"/>
          <w:szCs w:val="20"/>
        </w:rPr>
        <w:t xml:space="preserve">ation procedures, added to </w:t>
      </w:r>
      <w:r>
        <w:rPr>
          <w:rFonts w:ascii="Arial" w:hAnsi="Arial" w:cs="Arial"/>
          <w:sz w:val="20"/>
          <w:szCs w:val="20"/>
        </w:rPr>
        <w:t xml:space="preserve">increased prescription over how resources within partnerships are allocated, </w:t>
      </w:r>
      <w:r w:rsidR="005A0450">
        <w:rPr>
          <w:rFonts w:ascii="Arial" w:hAnsi="Arial" w:cs="Arial"/>
          <w:sz w:val="20"/>
          <w:szCs w:val="20"/>
        </w:rPr>
        <w:t xml:space="preserve">could </w:t>
      </w:r>
      <w:r>
        <w:rPr>
          <w:rFonts w:ascii="Arial" w:hAnsi="Arial" w:cs="Arial"/>
          <w:sz w:val="20"/>
          <w:szCs w:val="20"/>
        </w:rPr>
        <w:t xml:space="preserve">lead senior staff within universities to conclude that it would be in their interests to divert their attention to more secure and </w:t>
      </w:r>
      <w:r w:rsidR="00995519">
        <w:rPr>
          <w:rFonts w:ascii="Arial" w:hAnsi="Arial" w:cs="Arial"/>
          <w:sz w:val="20"/>
          <w:szCs w:val="20"/>
        </w:rPr>
        <w:t>sustainable areas of activity. T</w:t>
      </w:r>
      <w:r>
        <w:rPr>
          <w:rFonts w:ascii="Arial" w:hAnsi="Arial" w:cs="Arial"/>
          <w:sz w:val="20"/>
          <w:szCs w:val="20"/>
        </w:rPr>
        <w:t>he pipeline that exist</w:t>
      </w:r>
      <w:r w:rsidR="009646FE">
        <w:rPr>
          <w:rFonts w:ascii="Arial" w:hAnsi="Arial" w:cs="Arial"/>
          <w:sz w:val="20"/>
          <w:szCs w:val="20"/>
        </w:rPr>
        <w:t>s between some non-ITE undergrad</w:t>
      </w:r>
      <w:r>
        <w:rPr>
          <w:rFonts w:ascii="Arial" w:hAnsi="Arial" w:cs="Arial"/>
          <w:sz w:val="20"/>
          <w:szCs w:val="20"/>
        </w:rPr>
        <w:t>u</w:t>
      </w:r>
      <w:r w:rsidR="009646FE">
        <w:rPr>
          <w:rFonts w:ascii="Arial" w:hAnsi="Arial" w:cs="Arial"/>
          <w:sz w:val="20"/>
          <w:szCs w:val="20"/>
        </w:rPr>
        <w:t>a</w:t>
      </w:r>
      <w:r>
        <w:rPr>
          <w:rFonts w:ascii="Arial" w:hAnsi="Arial" w:cs="Arial"/>
          <w:sz w:val="20"/>
          <w:szCs w:val="20"/>
        </w:rPr>
        <w:t xml:space="preserve">te </w:t>
      </w:r>
      <w:r w:rsidR="009646FE">
        <w:rPr>
          <w:rFonts w:ascii="Arial" w:hAnsi="Arial" w:cs="Arial"/>
          <w:sz w:val="20"/>
          <w:szCs w:val="20"/>
        </w:rPr>
        <w:t xml:space="preserve">cohorts and PGCE programmes </w:t>
      </w:r>
      <w:r w:rsidR="00776802">
        <w:rPr>
          <w:rFonts w:ascii="Arial" w:hAnsi="Arial" w:cs="Arial"/>
          <w:sz w:val="20"/>
          <w:szCs w:val="20"/>
        </w:rPr>
        <w:t xml:space="preserve">at the same institution </w:t>
      </w:r>
      <w:r w:rsidR="009646FE">
        <w:rPr>
          <w:rFonts w:ascii="Arial" w:hAnsi="Arial" w:cs="Arial"/>
          <w:sz w:val="20"/>
          <w:szCs w:val="20"/>
        </w:rPr>
        <w:t>will be broken. It cannot be assumed that existing providers will be content to act as</w:t>
      </w:r>
      <w:r w:rsidR="00776802">
        <w:rPr>
          <w:rFonts w:ascii="Arial" w:hAnsi="Arial" w:cs="Arial"/>
          <w:sz w:val="20"/>
          <w:szCs w:val="20"/>
        </w:rPr>
        <w:t xml:space="preserve"> junior</w:t>
      </w:r>
      <w:r w:rsidR="009646FE">
        <w:rPr>
          <w:rFonts w:ascii="Arial" w:hAnsi="Arial" w:cs="Arial"/>
          <w:sz w:val="20"/>
          <w:szCs w:val="20"/>
        </w:rPr>
        <w:t xml:space="preserve"> delivery partners. </w:t>
      </w:r>
    </w:p>
    <w:p w:rsidR="009646FE" w:rsidRDefault="009646FE" w:rsidP="00AC15F9">
      <w:pPr>
        <w:rPr>
          <w:rFonts w:ascii="Arial" w:hAnsi="Arial" w:cs="Arial"/>
          <w:sz w:val="20"/>
          <w:szCs w:val="20"/>
        </w:rPr>
      </w:pPr>
    </w:p>
    <w:p w:rsidR="009646FE" w:rsidRDefault="009646FE" w:rsidP="00AC15F9">
      <w:pPr>
        <w:rPr>
          <w:rFonts w:ascii="Arial" w:hAnsi="Arial" w:cs="Arial"/>
          <w:sz w:val="20"/>
          <w:szCs w:val="20"/>
        </w:rPr>
      </w:pPr>
      <w:r>
        <w:rPr>
          <w:rFonts w:ascii="Arial" w:hAnsi="Arial" w:cs="Arial"/>
          <w:sz w:val="20"/>
          <w:szCs w:val="20"/>
        </w:rPr>
        <w:t xml:space="preserve">The increased involvement of schools in ITE, something which </w:t>
      </w:r>
      <w:r w:rsidR="006643B9">
        <w:rPr>
          <w:rFonts w:ascii="Arial" w:hAnsi="Arial" w:cs="Arial"/>
          <w:sz w:val="20"/>
          <w:szCs w:val="20"/>
        </w:rPr>
        <w:t>we have long</w:t>
      </w:r>
      <w:r w:rsidR="00776802">
        <w:rPr>
          <w:rFonts w:ascii="Arial" w:hAnsi="Arial" w:cs="Arial"/>
          <w:sz w:val="20"/>
          <w:szCs w:val="20"/>
        </w:rPr>
        <w:t xml:space="preserve"> championed</w:t>
      </w:r>
      <w:r>
        <w:rPr>
          <w:rFonts w:ascii="Arial" w:hAnsi="Arial" w:cs="Arial"/>
          <w:sz w:val="20"/>
          <w:szCs w:val="20"/>
        </w:rPr>
        <w:t>, is one of education</w:t>
      </w:r>
      <w:r w:rsidR="00776802">
        <w:rPr>
          <w:rFonts w:ascii="Arial" w:hAnsi="Arial" w:cs="Arial"/>
          <w:sz w:val="20"/>
          <w:szCs w:val="20"/>
        </w:rPr>
        <w:t>’</w:t>
      </w:r>
      <w:r>
        <w:rPr>
          <w:rFonts w:ascii="Arial" w:hAnsi="Arial" w:cs="Arial"/>
          <w:sz w:val="20"/>
          <w:szCs w:val="20"/>
        </w:rPr>
        <w:t xml:space="preserve">s success stories in recent years. Schools are often involved in ITE partnerships because of the relationships they have developed with their partner providers over a number of years. There is no guarantee that they will be willing to partner with other, potentially remote, organisations, especially if this leads to a loss of flexibility and ownership and increased prescription about what they do and how they do it. </w:t>
      </w:r>
      <w:r w:rsidR="005A0450">
        <w:rPr>
          <w:rFonts w:ascii="Arial" w:hAnsi="Arial" w:cs="Arial"/>
          <w:sz w:val="20"/>
          <w:szCs w:val="20"/>
        </w:rPr>
        <w:t xml:space="preserve">The withdrawal of schools from partnership will lead to fewer placement opportunities for student teachers. That in turn will act as a further constraint on recruitment. </w:t>
      </w:r>
    </w:p>
    <w:p w:rsidR="009646FE" w:rsidRDefault="009646FE" w:rsidP="00AC15F9">
      <w:pPr>
        <w:rPr>
          <w:rFonts w:ascii="Arial" w:hAnsi="Arial" w:cs="Arial"/>
          <w:sz w:val="20"/>
          <w:szCs w:val="20"/>
        </w:rPr>
      </w:pPr>
    </w:p>
    <w:p w:rsidR="009646FE" w:rsidRDefault="009646FE" w:rsidP="00AC15F9">
      <w:pPr>
        <w:rPr>
          <w:rFonts w:ascii="Arial" w:hAnsi="Arial" w:cs="Arial"/>
          <w:sz w:val="20"/>
          <w:szCs w:val="20"/>
        </w:rPr>
      </w:pPr>
      <w:r>
        <w:rPr>
          <w:rFonts w:ascii="Arial" w:hAnsi="Arial" w:cs="Arial"/>
          <w:sz w:val="20"/>
          <w:szCs w:val="20"/>
        </w:rPr>
        <w:t>It is in our view essential that ITE programmes are research informed and that new teachers are e</w:t>
      </w:r>
      <w:r w:rsidR="00DF51E3">
        <w:rPr>
          <w:rFonts w:ascii="Arial" w:hAnsi="Arial" w:cs="Arial"/>
          <w:sz w:val="20"/>
          <w:szCs w:val="20"/>
        </w:rPr>
        <w:t>q</w:t>
      </w:r>
      <w:r>
        <w:rPr>
          <w:rFonts w:ascii="Arial" w:hAnsi="Arial" w:cs="Arial"/>
          <w:sz w:val="20"/>
          <w:szCs w:val="20"/>
        </w:rPr>
        <w:t xml:space="preserve">uipped to be able to interpret, apply, critique and </w:t>
      </w:r>
      <w:r w:rsidR="00264B4E">
        <w:rPr>
          <w:rFonts w:ascii="Arial" w:hAnsi="Arial" w:cs="Arial"/>
          <w:sz w:val="20"/>
          <w:szCs w:val="20"/>
        </w:rPr>
        <w:t>contextualise</w:t>
      </w:r>
      <w:r>
        <w:rPr>
          <w:rFonts w:ascii="Arial" w:hAnsi="Arial" w:cs="Arial"/>
          <w:sz w:val="20"/>
          <w:szCs w:val="20"/>
        </w:rPr>
        <w:t xml:space="preserve"> relevant research. This is, at least in part, acknowledged in the consultation proposals. </w:t>
      </w:r>
      <w:r w:rsidR="00DF51E3">
        <w:rPr>
          <w:rFonts w:ascii="Arial" w:hAnsi="Arial" w:cs="Arial"/>
          <w:sz w:val="20"/>
          <w:szCs w:val="20"/>
        </w:rPr>
        <w:t xml:space="preserve">However, the proposals also imply that some research is </w:t>
      </w:r>
      <w:r w:rsidR="00264B4E">
        <w:rPr>
          <w:rFonts w:ascii="Arial" w:hAnsi="Arial" w:cs="Arial"/>
          <w:sz w:val="20"/>
          <w:szCs w:val="20"/>
        </w:rPr>
        <w:t>incontestable</w:t>
      </w:r>
      <w:r w:rsidR="00DF51E3">
        <w:rPr>
          <w:rFonts w:ascii="Arial" w:hAnsi="Arial" w:cs="Arial"/>
          <w:sz w:val="20"/>
          <w:szCs w:val="20"/>
        </w:rPr>
        <w:t xml:space="preserve"> and set in stone. We do not agree with this. There are always alternative approaches and new teachers should be aware of these. </w:t>
      </w:r>
      <w:r w:rsidR="00264B4E">
        <w:rPr>
          <w:rFonts w:ascii="Arial" w:hAnsi="Arial" w:cs="Arial"/>
          <w:sz w:val="20"/>
          <w:szCs w:val="20"/>
        </w:rPr>
        <w:t>The status</w:t>
      </w:r>
      <w:r w:rsidR="00DF51E3">
        <w:rPr>
          <w:rFonts w:ascii="Arial" w:hAnsi="Arial" w:cs="Arial"/>
          <w:sz w:val="20"/>
          <w:szCs w:val="20"/>
        </w:rPr>
        <w:t xml:space="preserve"> of teaching as a profession depends in part in it being an intellectual endeavour. Breakthroughs in education have often resulted from a questioning approach. The continued involve</w:t>
      </w:r>
      <w:r w:rsidR="00263947">
        <w:rPr>
          <w:rFonts w:ascii="Arial" w:hAnsi="Arial" w:cs="Arial"/>
          <w:sz w:val="20"/>
          <w:szCs w:val="20"/>
        </w:rPr>
        <w:t>ment of</w:t>
      </w:r>
      <w:r w:rsidR="00DF51E3">
        <w:rPr>
          <w:rFonts w:ascii="Arial" w:hAnsi="Arial" w:cs="Arial"/>
          <w:sz w:val="20"/>
          <w:szCs w:val="20"/>
        </w:rPr>
        <w:t xml:space="preserve"> some research intensive universities in teacher education might be at risk if they are expected to slavishly follow and accept </w:t>
      </w:r>
      <w:r w:rsidR="00264B4E">
        <w:rPr>
          <w:rFonts w:ascii="Arial" w:hAnsi="Arial" w:cs="Arial"/>
          <w:sz w:val="20"/>
          <w:szCs w:val="20"/>
        </w:rPr>
        <w:t>current</w:t>
      </w:r>
      <w:r w:rsidR="00DF51E3">
        <w:rPr>
          <w:rFonts w:ascii="Arial" w:hAnsi="Arial" w:cs="Arial"/>
          <w:sz w:val="20"/>
          <w:szCs w:val="20"/>
        </w:rPr>
        <w:t xml:space="preserve"> and </w:t>
      </w:r>
      <w:r w:rsidR="00264B4E">
        <w:rPr>
          <w:rFonts w:ascii="Arial" w:hAnsi="Arial" w:cs="Arial"/>
          <w:sz w:val="20"/>
          <w:szCs w:val="20"/>
        </w:rPr>
        <w:t>potentially</w:t>
      </w:r>
      <w:r w:rsidR="00263947">
        <w:rPr>
          <w:rFonts w:ascii="Arial" w:hAnsi="Arial" w:cs="Arial"/>
          <w:sz w:val="20"/>
          <w:szCs w:val="20"/>
        </w:rPr>
        <w:t xml:space="preserve"> time-</w:t>
      </w:r>
      <w:r w:rsidR="00264B4E">
        <w:rPr>
          <w:rFonts w:ascii="Arial" w:hAnsi="Arial" w:cs="Arial"/>
          <w:sz w:val="20"/>
          <w:szCs w:val="20"/>
        </w:rPr>
        <w:t>limited</w:t>
      </w:r>
      <w:r w:rsidR="00DF51E3">
        <w:rPr>
          <w:rFonts w:ascii="Arial" w:hAnsi="Arial" w:cs="Arial"/>
          <w:sz w:val="20"/>
          <w:szCs w:val="20"/>
        </w:rPr>
        <w:t xml:space="preserve"> orthodoxies. The </w:t>
      </w:r>
      <w:r w:rsidR="00264B4E">
        <w:rPr>
          <w:rFonts w:ascii="Arial" w:hAnsi="Arial" w:cs="Arial"/>
          <w:sz w:val="20"/>
          <w:szCs w:val="20"/>
        </w:rPr>
        <w:t>withdrawal</w:t>
      </w:r>
      <w:r w:rsidR="00DF51E3">
        <w:rPr>
          <w:rFonts w:ascii="Arial" w:hAnsi="Arial" w:cs="Arial"/>
          <w:sz w:val="20"/>
          <w:szCs w:val="20"/>
        </w:rPr>
        <w:t xml:space="preserve"> of such institutions would do </w:t>
      </w:r>
      <w:r w:rsidR="003A1CCE">
        <w:rPr>
          <w:rFonts w:ascii="Arial" w:hAnsi="Arial" w:cs="Arial"/>
          <w:sz w:val="20"/>
          <w:szCs w:val="20"/>
        </w:rPr>
        <w:t>huge</w:t>
      </w:r>
      <w:r w:rsidR="00DF51E3">
        <w:rPr>
          <w:rFonts w:ascii="Arial" w:hAnsi="Arial" w:cs="Arial"/>
          <w:sz w:val="20"/>
          <w:szCs w:val="20"/>
        </w:rPr>
        <w:t xml:space="preserve"> damage to the prestige of the profession.</w:t>
      </w:r>
    </w:p>
    <w:p w:rsidR="00DF51E3" w:rsidRDefault="00DF51E3" w:rsidP="00AC15F9">
      <w:pPr>
        <w:rPr>
          <w:rFonts w:ascii="Arial" w:hAnsi="Arial" w:cs="Arial"/>
          <w:sz w:val="20"/>
          <w:szCs w:val="20"/>
        </w:rPr>
      </w:pPr>
    </w:p>
    <w:p w:rsidR="00AC15F9" w:rsidRPr="000939C8" w:rsidRDefault="00AC15F9" w:rsidP="00AC15F9">
      <w:pPr>
        <w:rPr>
          <w:rFonts w:ascii="Arial" w:hAnsi="Arial" w:cs="Arial"/>
          <w:sz w:val="20"/>
          <w:szCs w:val="20"/>
        </w:rPr>
      </w:pPr>
      <w:r w:rsidRPr="000939C8">
        <w:rPr>
          <w:rFonts w:ascii="Arial" w:hAnsi="Arial" w:cs="Arial"/>
          <w:sz w:val="20"/>
          <w:szCs w:val="20"/>
        </w:rPr>
        <w:t>Yours sincerely,</w:t>
      </w:r>
    </w:p>
    <w:p w:rsidR="00AC15F9" w:rsidRPr="000939C8" w:rsidRDefault="00AC15F9" w:rsidP="00AC15F9">
      <w:pPr>
        <w:rPr>
          <w:rFonts w:ascii="Arial" w:hAnsi="Arial" w:cs="Arial"/>
          <w:sz w:val="20"/>
          <w:szCs w:val="20"/>
        </w:rPr>
      </w:pPr>
    </w:p>
    <w:p w:rsidR="00AC15F9" w:rsidRDefault="00AC15F9" w:rsidP="00AC15F9">
      <w:pPr>
        <w:rPr>
          <w:rFonts w:ascii="Arial" w:hAnsi="Arial" w:cs="Arial"/>
          <w:sz w:val="20"/>
          <w:szCs w:val="20"/>
        </w:rPr>
      </w:pPr>
    </w:p>
    <w:p w:rsidR="00BD3CA8" w:rsidRDefault="00E1162B" w:rsidP="00AC15F9">
      <w:pPr>
        <w:rPr>
          <w:rFonts w:ascii="Arial" w:hAnsi="Arial" w:cs="Arial"/>
          <w:sz w:val="20"/>
          <w:szCs w:val="20"/>
        </w:rPr>
      </w:pPr>
      <w:r>
        <w:rPr>
          <w:rFonts w:ascii="Arial" w:hAnsi="Arial" w:cs="Arial"/>
          <w:sz w:val="20"/>
          <w:szCs w:val="20"/>
        </w:rPr>
        <w:t>James Noble Rogers</w:t>
      </w:r>
    </w:p>
    <w:p w:rsidR="00E1162B" w:rsidRDefault="00E1162B" w:rsidP="00AC15F9">
      <w:pPr>
        <w:rPr>
          <w:rFonts w:ascii="Arial" w:hAnsi="Arial" w:cs="Arial"/>
          <w:sz w:val="20"/>
          <w:szCs w:val="20"/>
        </w:rPr>
      </w:pPr>
    </w:p>
    <w:p w:rsidR="00E1162B" w:rsidRDefault="00E1162B" w:rsidP="00AC15F9">
      <w:pPr>
        <w:rPr>
          <w:rFonts w:ascii="Arial" w:hAnsi="Arial" w:cs="Arial"/>
          <w:sz w:val="20"/>
          <w:szCs w:val="20"/>
        </w:rPr>
      </w:pPr>
    </w:p>
    <w:p w:rsidR="00E1162B" w:rsidRPr="000939C8" w:rsidRDefault="00E1162B" w:rsidP="00AC15F9">
      <w:pPr>
        <w:rPr>
          <w:rFonts w:ascii="Arial" w:hAnsi="Arial" w:cs="Arial"/>
          <w:sz w:val="20"/>
          <w:szCs w:val="20"/>
        </w:rPr>
      </w:pPr>
      <w:r>
        <w:rPr>
          <w:rFonts w:ascii="Arial" w:hAnsi="Arial" w:cs="Arial"/>
          <w:sz w:val="20"/>
          <w:szCs w:val="20"/>
        </w:rPr>
        <w:t>CC: Nick Gibb</w:t>
      </w:r>
      <w:bookmarkStart w:id="0" w:name="_GoBack"/>
      <w:bookmarkEnd w:id="0"/>
    </w:p>
    <w:p w:rsidR="00AC15F9" w:rsidRPr="000939C8" w:rsidRDefault="00AC15F9" w:rsidP="00AC15F9">
      <w:pPr>
        <w:rPr>
          <w:rFonts w:ascii="Arial" w:hAnsi="Arial" w:cs="Arial"/>
          <w:sz w:val="20"/>
          <w:szCs w:val="20"/>
        </w:rPr>
      </w:pPr>
    </w:p>
    <w:p w:rsidR="002135E3" w:rsidRPr="000939C8" w:rsidRDefault="00134338" w:rsidP="00AC15F9">
      <w:pPr>
        <w:rPr>
          <w:rFonts w:ascii="Arial" w:hAnsi="Arial" w:cs="Arial"/>
          <w:sz w:val="20"/>
          <w:szCs w:val="20"/>
        </w:rPr>
      </w:pPr>
      <w:r>
        <w:rPr>
          <w:rFonts w:ascii="Arial" w:hAnsi="Arial" w:cs="Arial"/>
          <w:sz w:val="20"/>
          <w:szCs w:val="20"/>
        </w:rPr>
        <w:t>xxxxxx</w:t>
      </w:r>
      <w:r w:rsidR="00E1162B">
        <w:rPr>
          <w:rFonts w:ascii="Arial" w:hAnsi="Arial" w:cs="Arial"/>
          <w:sz w:val="20"/>
          <w:szCs w:val="20"/>
        </w:rPr>
        <w:t xml:space="preserve">James </w:t>
      </w:r>
    </w:p>
    <w:sectPr w:rsidR="002135E3" w:rsidRPr="000939C8"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A35" w:rsidRDefault="008E0A35">
      <w:r>
        <w:separator/>
      </w:r>
    </w:p>
  </w:endnote>
  <w:endnote w:type="continuationSeparator" w:id="0">
    <w:p w:rsidR="008E0A35" w:rsidRDefault="008E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Sitka Smal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A35" w:rsidRDefault="008E0A35">
      <w:r>
        <w:separator/>
      </w:r>
    </w:p>
  </w:footnote>
  <w:footnote w:type="continuationSeparator" w:id="0">
    <w:p w:rsidR="008E0A35" w:rsidRDefault="008E0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FD7873"/>
    <w:multiLevelType w:val="hybridMultilevel"/>
    <w:tmpl w:val="53707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26"/>
  </w:num>
  <w:num w:numId="4">
    <w:abstractNumId w:val="2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11"/>
  </w:num>
  <w:num w:numId="16">
    <w:abstractNumId w:val="9"/>
  </w:num>
  <w:num w:numId="17">
    <w:abstractNumId w:val="0"/>
  </w:num>
  <w:num w:numId="18">
    <w:abstractNumId w:val="18"/>
  </w:num>
  <w:num w:numId="19">
    <w:abstractNumId w:val="27"/>
  </w:num>
  <w:num w:numId="20">
    <w:abstractNumId w:val="14"/>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4"/>
  </w:num>
  <w:num w:numId="26">
    <w:abstractNumId w:val="28"/>
  </w:num>
  <w:num w:numId="27">
    <w:abstractNumId w:val="29"/>
  </w:num>
  <w:num w:numId="28">
    <w:abstractNumId w:val="22"/>
  </w:num>
  <w:num w:numId="29">
    <w:abstractNumId w:val="1"/>
  </w:num>
  <w:num w:numId="30">
    <w:abstractNumId w:val="12"/>
  </w:num>
  <w:num w:numId="31">
    <w:abstractNumId w:val="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3612"/>
    <w:rsid w:val="00026AC1"/>
    <w:rsid w:val="00033868"/>
    <w:rsid w:val="00037C8A"/>
    <w:rsid w:val="00044111"/>
    <w:rsid w:val="00056340"/>
    <w:rsid w:val="000663F4"/>
    <w:rsid w:val="000757B0"/>
    <w:rsid w:val="00075E3A"/>
    <w:rsid w:val="000842BA"/>
    <w:rsid w:val="000871B3"/>
    <w:rsid w:val="000939C8"/>
    <w:rsid w:val="000C1D1C"/>
    <w:rsid w:val="000D1742"/>
    <w:rsid w:val="000D4024"/>
    <w:rsid w:val="000E0804"/>
    <w:rsid w:val="000F1ECB"/>
    <w:rsid w:val="000F241C"/>
    <w:rsid w:val="000F5164"/>
    <w:rsid w:val="00100462"/>
    <w:rsid w:val="00102097"/>
    <w:rsid w:val="0011076D"/>
    <w:rsid w:val="00114B1E"/>
    <w:rsid w:val="00125B89"/>
    <w:rsid w:val="00134338"/>
    <w:rsid w:val="0013500C"/>
    <w:rsid w:val="00137534"/>
    <w:rsid w:val="00163B98"/>
    <w:rsid w:val="00166378"/>
    <w:rsid w:val="00187C64"/>
    <w:rsid w:val="00195401"/>
    <w:rsid w:val="001A13A8"/>
    <w:rsid w:val="001A3DB2"/>
    <w:rsid w:val="001A58F8"/>
    <w:rsid w:val="001D73C1"/>
    <w:rsid w:val="002135E3"/>
    <w:rsid w:val="00263612"/>
    <w:rsid w:val="00263947"/>
    <w:rsid w:val="00264B4E"/>
    <w:rsid w:val="00271586"/>
    <w:rsid w:val="002B18AF"/>
    <w:rsid w:val="002D28F2"/>
    <w:rsid w:val="003030E1"/>
    <w:rsid w:val="003353A2"/>
    <w:rsid w:val="00335CAC"/>
    <w:rsid w:val="003701A6"/>
    <w:rsid w:val="00373FDA"/>
    <w:rsid w:val="00394DAA"/>
    <w:rsid w:val="003A07AB"/>
    <w:rsid w:val="003A1CCE"/>
    <w:rsid w:val="003C20D8"/>
    <w:rsid w:val="003D1829"/>
    <w:rsid w:val="003E0D0E"/>
    <w:rsid w:val="003E0D3C"/>
    <w:rsid w:val="003E399F"/>
    <w:rsid w:val="003E6838"/>
    <w:rsid w:val="003E6C64"/>
    <w:rsid w:val="004020BF"/>
    <w:rsid w:val="00404BC9"/>
    <w:rsid w:val="00406E3F"/>
    <w:rsid w:val="004152DB"/>
    <w:rsid w:val="004330A1"/>
    <w:rsid w:val="00460ADD"/>
    <w:rsid w:val="00473DD9"/>
    <w:rsid w:val="004919CD"/>
    <w:rsid w:val="004B6F30"/>
    <w:rsid w:val="004C357B"/>
    <w:rsid w:val="004C6301"/>
    <w:rsid w:val="004D01D4"/>
    <w:rsid w:val="004D22CE"/>
    <w:rsid w:val="004D4E96"/>
    <w:rsid w:val="004E424F"/>
    <w:rsid w:val="0050585C"/>
    <w:rsid w:val="00510CD9"/>
    <w:rsid w:val="005241D6"/>
    <w:rsid w:val="00532057"/>
    <w:rsid w:val="00551BDA"/>
    <w:rsid w:val="00572FE9"/>
    <w:rsid w:val="00583CAF"/>
    <w:rsid w:val="00584E0C"/>
    <w:rsid w:val="00587A14"/>
    <w:rsid w:val="005A0450"/>
    <w:rsid w:val="005A4348"/>
    <w:rsid w:val="005C43B1"/>
    <w:rsid w:val="005E48B1"/>
    <w:rsid w:val="005F6649"/>
    <w:rsid w:val="00633B07"/>
    <w:rsid w:val="00635989"/>
    <w:rsid w:val="00640DD0"/>
    <w:rsid w:val="006421AF"/>
    <w:rsid w:val="00663708"/>
    <w:rsid w:val="006643B9"/>
    <w:rsid w:val="006713D1"/>
    <w:rsid w:val="006821DB"/>
    <w:rsid w:val="0069062B"/>
    <w:rsid w:val="00692AA1"/>
    <w:rsid w:val="00697ED9"/>
    <w:rsid w:val="006A726B"/>
    <w:rsid w:val="006B16E8"/>
    <w:rsid w:val="006C1A63"/>
    <w:rsid w:val="006C7354"/>
    <w:rsid w:val="006F0BBA"/>
    <w:rsid w:val="006F3B08"/>
    <w:rsid w:val="0071182F"/>
    <w:rsid w:val="00715788"/>
    <w:rsid w:val="00723DFE"/>
    <w:rsid w:val="007248F3"/>
    <w:rsid w:val="00726835"/>
    <w:rsid w:val="0073319F"/>
    <w:rsid w:val="00736FAE"/>
    <w:rsid w:val="00745748"/>
    <w:rsid w:val="00767A8C"/>
    <w:rsid w:val="00776802"/>
    <w:rsid w:val="00783030"/>
    <w:rsid w:val="0078342E"/>
    <w:rsid w:val="007A21CA"/>
    <w:rsid w:val="007B1F7F"/>
    <w:rsid w:val="007B3A61"/>
    <w:rsid w:val="007C6582"/>
    <w:rsid w:val="007C72AE"/>
    <w:rsid w:val="007D01A5"/>
    <w:rsid w:val="007D240E"/>
    <w:rsid w:val="007F7A39"/>
    <w:rsid w:val="00801AC2"/>
    <w:rsid w:val="00806C1F"/>
    <w:rsid w:val="008252AB"/>
    <w:rsid w:val="00833878"/>
    <w:rsid w:val="00850926"/>
    <w:rsid w:val="0086636E"/>
    <w:rsid w:val="0086641B"/>
    <w:rsid w:val="008818D3"/>
    <w:rsid w:val="0088465F"/>
    <w:rsid w:val="008A0A18"/>
    <w:rsid w:val="008B6D39"/>
    <w:rsid w:val="008B7256"/>
    <w:rsid w:val="008D7442"/>
    <w:rsid w:val="008E0A35"/>
    <w:rsid w:val="00900283"/>
    <w:rsid w:val="00904226"/>
    <w:rsid w:val="00922DA6"/>
    <w:rsid w:val="0095447C"/>
    <w:rsid w:val="009646FE"/>
    <w:rsid w:val="00986160"/>
    <w:rsid w:val="009927E3"/>
    <w:rsid w:val="00995519"/>
    <w:rsid w:val="009B4042"/>
    <w:rsid w:val="009E12B3"/>
    <w:rsid w:val="00A22503"/>
    <w:rsid w:val="00A37D32"/>
    <w:rsid w:val="00A62726"/>
    <w:rsid w:val="00A65CFD"/>
    <w:rsid w:val="00A73774"/>
    <w:rsid w:val="00A97D3F"/>
    <w:rsid w:val="00AA07DD"/>
    <w:rsid w:val="00AA3673"/>
    <w:rsid w:val="00AB568E"/>
    <w:rsid w:val="00AC15F9"/>
    <w:rsid w:val="00AD7290"/>
    <w:rsid w:val="00AE365F"/>
    <w:rsid w:val="00AE40D7"/>
    <w:rsid w:val="00AF7C09"/>
    <w:rsid w:val="00B17843"/>
    <w:rsid w:val="00B52838"/>
    <w:rsid w:val="00B6401E"/>
    <w:rsid w:val="00B65A82"/>
    <w:rsid w:val="00B73A50"/>
    <w:rsid w:val="00B73C3F"/>
    <w:rsid w:val="00B80B29"/>
    <w:rsid w:val="00B865BC"/>
    <w:rsid w:val="00B93383"/>
    <w:rsid w:val="00BA540B"/>
    <w:rsid w:val="00BB1276"/>
    <w:rsid w:val="00BD3CA8"/>
    <w:rsid w:val="00C0032E"/>
    <w:rsid w:val="00C02640"/>
    <w:rsid w:val="00C23A79"/>
    <w:rsid w:val="00C27B2F"/>
    <w:rsid w:val="00C4023E"/>
    <w:rsid w:val="00C51AF9"/>
    <w:rsid w:val="00C54884"/>
    <w:rsid w:val="00C56C09"/>
    <w:rsid w:val="00C92263"/>
    <w:rsid w:val="00CA3A7A"/>
    <w:rsid w:val="00CB45A4"/>
    <w:rsid w:val="00CB62DE"/>
    <w:rsid w:val="00CD3DBD"/>
    <w:rsid w:val="00CD5B23"/>
    <w:rsid w:val="00CD5C9E"/>
    <w:rsid w:val="00CD6CDB"/>
    <w:rsid w:val="00CD6E6C"/>
    <w:rsid w:val="00CE3D94"/>
    <w:rsid w:val="00CF4AE3"/>
    <w:rsid w:val="00CF4EBB"/>
    <w:rsid w:val="00D006E8"/>
    <w:rsid w:val="00D01DF5"/>
    <w:rsid w:val="00D3599D"/>
    <w:rsid w:val="00D85225"/>
    <w:rsid w:val="00D91D76"/>
    <w:rsid w:val="00DA18ED"/>
    <w:rsid w:val="00DA47F3"/>
    <w:rsid w:val="00DA549A"/>
    <w:rsid w:val="00DB1486"/>
    <w:rsid w:val="00DB47B9"/>
    <w:rsid w:val="00DC2807"/>
    <w:rsid w:val="00DC7BD8"/>
    <w:rsid w:val="00DF00D6"/>
    <w:rsid w:val="00DF51E3"/>
    <w:rsid w:val="00E04418"/>
    <w:rsid w:val="00E1162B"/>
    <w:rsid w:val="00E13FB2"/>
    <w:rsid w:val="00E265FE"/>
    <w:rsid w:val="00E27BA3"/>
    <w:rsid w:val="00E64ED8"/>
    <w:rsid w:val="00E772EE"/>
    <w:rsid w:val="00E81C8A"/>
    <w:rsid w:val="00E87A8B"/>
    <w:rsid w:val="00EC3CB1"/>
    <w:rsid w:val="00EC7466"/>
    <w:rsid w:val="00F01573"/>
    <w:rsid w:val="00F263AC"/>
    <w:rsid w:val="00F27355"/>
    <w:rsid w:val="00F325CB"/>
    <w:rsid w:val="00F32B1D"/>
    <w:rsid w:val="00F34D89"/>
    <w:rsid w:val="00F41BF4"/>
    <w:rsid w:val="00F6662E"/>
    <w:rsid w:val="00F738CB"/>
    <w:rsid w:val="00F83A4C"/>
    <w:rsid w:val="00F92622"/>
    <w:rsid w:val="00F94E74"/>
    <w:rsid w:val="00FC2C68"/>
    <w:rsid w:val="00FE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8E6EB078-6CA0-4D99-A29A-76D2A611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eastAsia="en-US"/>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link w:val="FootnoteText"/>
    <w:uiPriority w:val="99"/>
    <w:semiHidden/>
    <w:rsid w:val="00D006E8"/>
    <w:rPr>
      <w:rFonts w:ascii="Calibri" w:eastAsia="Calibri" w:hAnsi="Calibri"/>
    </w:rPr>
  </w:style>
  <w:style w:type="character" w:styleId="FootnoteReference">
    <w:name w:val="footnote reference"/>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82847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5EB15-0F24-49B7-949C-5BB2AFA2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Godsland</dc:creator>
  <cp:keywords/>
  <cp:lastModifiedBy>James Noble-Rogers</cp:lastModifiedBy>
  <cp:revision>4</cp:revision>
  <cp:lastPrinted>2018-01-12T10:33:00Z</cp:lastPrinted>
  <dcterms:created xsi:type="dcterms:W3CDTF">2021-06-29T16:18:00Z</dcterms:created>
  <dcterms:modified xsi:type="dcterms:W3CDTF">2021-07-05T14:27:00Z</dcterms:modified>
</cp:coreProperties>
</file>