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40" w:rsidRDefault="00C12840" w:rsidP="00C12840">
      <w:pPr>
        <w:jc w:val="both"/>
        <w:rPr>
          <w:rFonts w:ascii="Frutiger 45 Light" w:hAnsi="Frutiger 45 Light"/>
        </w:rPr>
      </w:pPr>
    </w:p>
    <w:p w:rsidR="00C12840" w:rsidRDefault="00C12840" w:rsidP="00C12840">
      <w:pPr>
        <w:jc w:val="both"/>
        <w:rPr>
          <w:rFonts w:ascii="Frutiger 45 Light" w:hAnsi="Frutiger 45 Light"/>
        </w:rPr>
      </w:pPr>
    </w:p>
    <w:p w:rsidR="00C12840" w:rsidRDefault="00C12840" w:rsidP="00C12840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8EED3" wp14:editId="74DED922">
                <wp:simplePos x="0" y="0"/>
                <wp:positionH relativeFrom="column">
                  <wp:posOffset>50800</wp:posOffset>
                </wp:positionH>
                <wp:positionV relativeFrom="page">
                  <wp:posOffset>1052830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840" w:rsidRDefault="00C12840" w:rsidP="00C12840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434E5DFF" wp14:editId="3078DAFA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C12840" w:rsidRPr="00AB568E" w:rsidRDefault="00C12840" w:rsidP="00C12840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C12840" w:rsidRPr="00AB568E" w:rsidRDefault="00C12840" w:rsidP="00C12840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C12840" w:rsidRPr="007F7A39" w:rsidRDefault="00C12840" w:rsidP="00C12840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C12840" w:rsidRPr="007F7A39" w:rsidRDefault="00C12840" w:rsidP="00C12840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C12840" w:rsidRPr="007F7A39" w:rsidRDefault="00C12840" w:rsidP="00C12840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C12840" w:rsidRPr="007F7A39" w:rsidRDefault="00C12840" w:rsidP="00C12840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C12840" w:rsidRDefault="00C12840" w:rsidP="00C12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8EE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82.9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" filled="f" stroked="f">
                <v:textbox>
                  <w:txbxContent>
                    <w:p w:rsidR="00C12840" w:rsidRDefault="00C12840" w:rsidP="00C12840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434E5DFF" wp14:editId="3078DAFA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C12840" w:rsidRPr="00AB568E" w:rsidRDefault="00C12840" w:rsidP="00C12840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C12840" w:rsidRPr="00AB568E" w:rsidRDefault="00C12840" w:rsidP="00C12840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C12840" w:rsidRPr="007F7A39" w:rsidRDefault="00C12840" w:rsidP="00C12840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C12840" w:rsidRPr="007F7A39" w:rsidRDefault="00C12840" w:rsidP="00C12840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C12840" w:rsidRPr="007F7A39" w:rsidRDefault="00C12840" w:rsidP="00C12840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C12840" w:rsidRPr="007F7A39" w:rsidRDefault="00C12840" w:rsidP="00C12840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C12840" w:rsidRDefault="00C12840" w:rsidP="00C12840"/>
                  </w:txbxContent>
                </v:textbox>
                <w10:wrap anchory="page"/>
              </v:shape>
            </w:pict>
          </mc:Fallback>
        </mc:AlternateContent>
      </w:r>
    </w:p>
    <w:p w:rsidR="00C12840" w:rsidRDefault="00C12840" w:rsidP="00C12840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CEE4E" wp14:editId="508EF10A">
                <wp:simplePos x="0" y="0"/>
                <wp:positionH relativeFrom="column">
                  <wp:posOffset>-70485</wp:posOffset>
                </wp:positionH>
                <wp:positionV relativeFrom="paragraph">
                  <wp:posOffset>163195</wp:posOffset>
                </wp:positionV>
                <wp:extent cx="2908300" cy="4572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840" w:rsidRPr="00AB568E" w:rsidRDefault="00C12840" w:rsidP="00C12840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CEE4E" id="Text Box 2" o:spid="_x0000_s1027" type="#_x0000_t202" style="position:absolute;left:0;text-align:left;margin-left:-5.55pt;margin-top:12.8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bI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" stroked="f">
                <v:textbox>
                  <w:txbxContent>
                    <w:p w:rsidR="00C12840" w:rsidRPr="00AB568E" w:rsidRDefault="00C12840" w:rsidP="00C12840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12840" w:rsidRDefault="00C12840" w:rsidP="00C12840">
      <w:pPr>
        <w:jc w:val="both"/>
        <w:rPr>
          <w:rFonts w:ascii="Frutiger 45 Light" w:hAnsi="Frutiger 45 Light"/>
        </w:rPr>
      </w:pPr>
    </w:p>
    <w:p w:rsidR="00C12840" w:rsidRDefault="00C12840" w:rsidP="00C12840">
      <w:pPr>
        <w:jc w:val="both"/>
        <w:rPr>
          <w:rFonts w:ascii="Frutiger 45 Light" w:hAnsi="Frutiger 45 Light"/>
        </w:rPr>
      </w:pPr>
    </w:p>
    <w:p w:rsidR="00C12840" w:rsidRDefault="00C12840" w:rsidP="00C12840">
      <w:pPr>
        <w:jc w:val="both"/>
        <w:rPr>
          <w:rFonts w:ascii="Frutiger 45 Light" w:hAnsi="Frutiger 45 Light"/>
        </w:rPr>
      </w:pPr>
    </w:p>
    <w:p w:rsidR="00C12840" w:rsidRDefault="00C12840" w:rsidP="00C12840">
      <w:pPr>
        <w:jc w:val="center"/>
        <w:rPr>
          <w:b/>
          <w:sz w:val="20"/>
          <w:szCs w:val="20"/>
        </w:rPr>
      </w:pPr>
    </w:p>
    <w:p w:rsidR="00C12840" w:rsidRDefault="00C12840" w:rsidP="00C12840">
      <w:pPr>
        <w:jc w:val="center"/>
        <w:rPr>
          <w:b/>
          <w:sz w:val="20"/>
          <w:szCs w:val="20"/>
        </w:rPr>
      </w:pPr>
    </w:p>
    <w:p w:rsidR="00C12840" w:rsidRDefault="00C12840" w:rsidP="00C12840">
      <w:pPr>
        <w:jc w:val="center"/>
        <w:rPr>
          <w:b/>
          <w:sz w:val="20"/>
          <w:szCs w:val="20"/>
        </w:rPr>
      </w:pPr>
    </w:p>
    <w:p w:rsidR="00C12840" w:rsidRDefault="00C12840" w:rsidP="00C12840">
      <w:pPr>
        <w:jc w:val="center"/>
        <w:rPr>
          <w:b/>
          <w:sz w:val="20"/>
          <w:szCs w:val="20"/>
        </w:rPr>
      </w:pPr>
    </w:p>
    <w:p w:rsidR="00C12840" w:rsidRDefault="00C12840" w:rsidP="00C128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12840" w:rsidRDefault="00C12840" w:rsidP="00C12840">
      <w:pPr>
        <w:jc w:val="center"/>
        <w:rPr>
          <w:sz w:val="20"/>
          <w:szCs w:val="20"/>
        </w:rPr>
      </w:pPr>
    </w:p>
    <w:p w:rsidR="00C12840" w:rsidRDefault="00C12840" w:rsidP="00C12840">
      <w:pPr>
        <w:jc w:val="center"/>
        <w:rPr>
          <w:sz w:val="20"/>
          <w:szCs w:val="20"/>
        </w:rPr>
      </w:pPr>
    </w:p>
    <w:p w:rsidR="00C12840" w:rsidRDefault="00C12840" w:rsidP="00C12840">
      <w:pPr>
        <w:jc w:val="center"/>
        <w:rPr>
          <w:sz w:val="20"/>
          <w:szCs w:val="20"/>
        </w:rPr>
      </w:pPr>
    </w:p>
    <w:p w:rsidR="00C12840" w:rsidRDefault="00C12840" w:rsidP="00C12840">
      <w:pPr>
        <w:jc w:val="center"/>
        <w:rPr>
          <w:sz w:val="20"/>
          <w:szCs w:val="20"/>
        </w:rPr>
      </w:pPr>
    </w:p>
    <w:p w:rsidR="00C12840" w:rsidRDefault="00C12840" w:rsidP="00C12840">
      <w:pPr>
        <w:jc w:val="center"/>
        <w:rPr>
          <w:sz w:val="20"/>
          <w:szCs w:val="20"/>
        </w:rPr>
        <w:sectPr w:rsidR="00C12840" w:rsidSect="006F0BBA"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C12840" w:rsidRDefault="00C12840" w:rsidP="00C12840">
      <w:pPr>
        <w:jc w:val="center"/>
        <w:rPr>
          <w:sz w:val="20"/>
          <w:szCs w:val="20"/>
        </w:rPr>
      </w:pPr>
    </w:p>
    <w:p w:rsidR="00C12840" w:rsidRDefault="00C12840" w:rsidP="00C12840">
      <w:pPr>
        <w:jc w:val="center"/>
        <w:rPr>
          <w:sz w:val="20"/>
          <w:szCs w:val="20"/>
        </w:rPr>
      </w:pPr>
    </w:p>
    <w:p w:rsidR="00C12840" w:rsidRDefault="00C12840" w:rsidP="00C12840">
      <w:pPr>
        <w:jc w:val="center"/>
        <w:rPr>
          <w:sz w:val="20"/>
          <w:szCs w:val="20"/>
        </w:rPr>
      </w:pPr>
    </w:p>
    <w:p w:rsidR="00C12840" w:rsidRPr="006F0E13" w:rsidRDefault="00C12840" w:rsidP="00C12840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>
        <w:rPr>
          <w:b/>
        </w:rPr>
        <w:t>Committee meeting, held on 27</w:t>
      </w:r>
      <w:r w:rsidRPr="00C12840">
        <w:rPr>
          <w:b/>
          <w:vertAlign w:val="superscript"/>
        </w:rPr>
        <w:t>th</w:t>
      </w:r>
      <w:r>
        <w:rPr>
          <w:b/>
        </w:rPr>
        <w:t xml:space="preserve"> April at 10:00 am -12:00 pm.</w:t>
      </w:r>
    </w:p>
    <w:p w:rsidR="00C12840" w:rsidRDefault="00C12840" w:rsidP="00C12840">
      <w:pPr>
        <w:jc w:val="center"/>
        <w:rPr>
          <w:b/>
        </w:rPr>
      </w:pPr>
      <w:r w:rsidRPr="006F0E13">
        <w:rPr>
          <w:b/>
        </w:rPr>
        <w:t>Virtual Online Meeting</w:t>
      </w:r>
    </w:p>
    <w:p w:rsidR="00C12840" w:rsidRDefault="00C12840" w:rsidP="00C12840">
      <w:pPr>
        <w:jc w:val="center"/>
        <w:rPr>
          <w:b/>
        </w:rPr>
      </w:pPr>
    </w:p>
    <w:p w:rsidR="00C12840" w:rsidRDefault="00C12840" w:rsidP="00C12840">
      <w:pPr>
        <w:jc w:val="center"/>
        <w:rPr>
          <w:b/>
        </w:rPr>
      </w:pPr>
    </w:p>
    <w:p w:rsidR="00C12840" w:rsidRDefault="00C12840" w:rsidP="00C12840">
      <w:pPr>
        <w:jc w:val="center"/>
        <w:rPr>
          <w:b/>
        </w:rPr>
      </w:pPr>
    </w:p>
    <w:p w:rsidR="00C12840" w:rsidRDefault="00C12840" w:rsidP="00C12840">
      <w:pPr>
        <w:rPr>
          <w:u w:val="single"/>
        </w:rPr>
        <w:sectPr w:rsidR="00C12840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  <w:r w:rsidRPr="008861D5">
        <w:rPr>
          <w:u w:val="single"/>
        </w:rPr>
        <w:t>Attendance</w:t>
      </w:r>
      <w:r>
        <w:rPr>
          <w:u w:val="single"/>
        </w:rPr>
        <w:t>:</w:t>
      </w:r>
    </w:p>
    <w:p w:rsidR="00C12840" w:rsidRPr="008861D5" w:rsidRDefault="00C12840" w:rsidP="00C12840">
      <w:pPr>
        <w:rPr>
          <w:u w:val="single"/>
        </w:rPr>
      </w:pPr>
    </w:p>
    <w:p w:rsidR="00C12840" w:rsidRDefault="00C12840" w:rsidP="00C12840">
      <w:pPr>
        <w:sectPr w:rsidR="00C12840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C12840" w:rsidRDefault="00C12840" w:rsidP="00C12840">
      <w:r>
        <w:t xml:space="preserve">Clare Brooks; Sean Cavan; Caroline Daly; Max Fincher; Spencer Hennessey; </w:t>
      </w:r>
      <w:r w:rsidRPr="00A51D01">
        <w:t>Emma Ho</w:t>
      </w:r>
      <w:r>
        <w:t xml:space="preserve">llis; David Littlefair; Rachel Lofthouse; </w:t>
      </w:r>
      <w:r w:rsidRPr="00A51D01">
        <w:t>Kevin Mattinson</w:t>
      </w:r>
      <w:r>
        <w:t xml:space="preserve"> (Chair); Jo McIntyre; Jackie Moses; </w:t>
      </w:r>
      <w:r w:rsidRPr="00A51D01">
        <w:t>Trevor Mutton</w:t>
      </w:r>
      <w:r>
        <w:t xml:space="preserve">; James Noble-Rogers; </w:t>
      </w:r>
      <w:r w:rsidRPr="00A51D01">
        <w:t>Tanya Ovenden-Hope</w:t>
      </w:r>
      <w:r>
        <w:t xml:space="preserve">; Paul Vare; Matt Varley; Roger Woods; Jenny Wynn. </w:t>
      </w:r>
    </w:p>
    <w:p w:rsidR="00C12840" w:rsidRDefault="00C12840" w:rsidP="00C12840"/>
    <w:p w:rsidR="00C12840" w:rsidRDefault="00C12840" w:rsidP="00C12840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:rsidR="00C12840" w:rsidRPr="001A446F" w:rsidRDefault="00C12840" w:rsidP="00C12840">
      <w:pPr>
        <w:rPr>
          <w:u w:val="single"/>
        </w:rPr>
      </w:pPr>
    </w:p>
    <w:p w:rsidR="00C12840" w:rsidRPr="00A51D01" w:rsidRDefault="00C12840" w:rsidP="00C12840">
      <w:r>
        <w:t xml:space="preserve">Pat Black; Hazel Bryan; Jake Capper; Des Hewitt; Vini Lander; Karen McGrath; Roisin McPhilemy; Margaret Mulholland; Cat Scutt; Elaine Sharpling; David Smith. </w:t>
      </w:r>
    </w:p>
    <w:p w:rsidR="00C12840" w:rsidRDefault="00C12840" w:rsidP="00C12840"/>
    <w:p w:rsidR="00C12840" w:rsidRPr="00C12840" w:rsidRDefault="00C12840" w:rsidP="00C12840"/>
    <w:p w:rsidR="00C12840" w:rsidRPr="00C12840" w:rsidRDefault="00C12840" w:rsidP="00C12840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 w:rsidRPr="00C12840">
        <w:rPr>
          <w:rFonts w:ascii="Arial" w:eastAsia="Times New Roman" w:hAnsi="Arial"/>
          <w:sz w:val="24"/>
          <w:szCs w:val="24"/>
        </w:rPr>
        <w:t>Declarations of Interest</w:t>
      </w:r>
    </w:p>
    <w:p w:rsidR="00C12840" w:rsidRPr="00C12840" w:rsidRDefault="00C12840" w:rsidP="00C12840">
      <w:pPr>
        <w:pStyle w:val="ListParagraph"/>
        <w:numPr>
          <w:ilvl w:val="0"/>
          <w:numId w:val="11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NASBTT have a template they use; </w:t>
      </w:r>
      <w:r w:rsidRPr="00C12840">
        <w:rPr>
          <w:rFonts w:ascii="Arial" w:eastAsia="Times New Roman" w:hAnsi="Arial"/>
          <w:b/>
        </w:rPr>
        <w:t>EH to send to JNR/MF</w:t>
      </w:r>
      <w:r>
        <w:rPr>
          <w:rFonts w:ascii="Arial" w:eastAsia="Times New Roman" w:hAnsi="Arial"/>
        </w:rPr>
        <w:t xml:space="preserve">. </w:t>
      </w:r>
    </w:p>
    <w:p w:rsidR="00C12840" w:rsidRPr="00C12840" w:rsidRDefault="00C12840" w:rsidP="00C12840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 w:rsidRPr="00C12840">
        <w:rPr>
          <w:rFonts w:ascii="Arial" w:eastAsia="Times New Roman" w:hAnsi="Arial"/>
          <w:sz w:val="24"/>
          <w:szCs w:val="24"/>
        </w:rPr>
        <w:t xml:space="preserve">Minutes and matters arising </w:t>
      </w:r>
    </w:p>
    <w:p w:rsidR="00C12840" w:rsidRDefault="00C12840" w:rsidP="00C12840">
      <w:pPr>
        <w:pStyle w:val="ListParagraph"/>
        <w:numPr>
          <w:ilvl w:val="0"/>
          <w:numId w:val="11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Recorded as accurate.</w:t>
      </w:r>
    </w:p>
    <w:p w:rsidR="00C12840" w:rsidRDefault="00C12840" w:rsidP="00C12840">
      <w:pPr>
        <w:pStyle w:val="ListParagraph"/>
        <w:numPr>
          <w:ilvl w:val="0"/>
          <w:numId w:val="11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The UCET accounts have been submitted to the CC.</w:t>
      </w:r>
    </w:p>
    <w:p w:rsidR="00C12840" w:rsidRDefault="00C12840" w:rsidP="00C12840">
      <w:pPr>
        <w:pStyle w:val="ListParagraph"/>
        <w:numPr>
          <w:ilvl w:val="0"/>
          <w:numId w:val="11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KM is pulling together evidence for the UCET iQTS summary. </w:t>
      </w:r>
    </w:p>
    <w:p w:rsidR="00C12840" w:rsidRDefault="00C12840" w:rsidP="00C1284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C12840">
        <w:rPr>
          <w:rFonts w:ascii="Arial" w:hAnsi="Arial"/>
          <w:sz w:val="24"/>
          <w:szCs w:val="24"/>
        </w:rPr>
        <w:t xml:space="preserve">Risk Register </w:t>
      </w:r>
    </w:p>
    <w:p w:rsidR="00C12840" w:rsidRPr="00903AA6" w:rsidRDefault="00273959" w:rsidP="00273959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903AA6">
        <w:rPr>
          <w:rFonts w:ascii="Arial" w:hAnsi="Arial"/>
        </w:rPr>
        <w:t>It was agreed to defer work on this until the Autumn term, when the proposals and outcomes of the ITT Market Review are fully known.</w:t>
      </w:r>
    </w:p>
    <w:p w:rsidR="00C12840" w:rsidRDefault="00273959" w:rsidP="00C1284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273959">
        <w:rPr>
          <w:rFonts w:ascii="Arial" w:hAnsi="Arial"/>
          <w:sz w:val="24"/>
          <w:szCs w:val="24"/>
        </w:rPr>
        <w:t xml:space="preserve">ITE Market Review and Institute of Teaching </w:t>
      </w:r>
    </w:p>
    <w:p w:rsidR="00273959" w:rsidRPr="00976FC9" w:rsidRDefault="00273959" w:rsidP="00273959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976FC9">
        <w:rPr>
          <w:rFonts w:ascii="Arial" w:hAnsi="Arial"/>
        </w:rPr>
        <w:t xml:space="preserve">It was noted that DfE </w:t>
      </w:r>
      <w:r w:rsidR="00976FC9" w:rsidRPr="00976FC9">
        <w:rPr>
          <w:rFonts w:ascii="Arial" w:hAnsi="Arial"/>
        </w:rPr>
        <w:t>c</w:t>
      </w:r>
      <w:r w:rsidR="00976FC9">
        <w:rPr>
          <w:rFonts w:ascii="Arial" w:hAnsi="Arial"/>
        </w:rPr>
        <w:t xml:space="preserve">hose not to attend the UCET EC., although it had now agreed to hold a formal meeting with a sub-group of the Executive to discuss the Market Review. Similar events were being held with TEAG, Million +, the Alliance Group, the Russell Group, the Cathedrals Group and NASBTT. </w:t>
      </w:r>
    </w:p>
    <w:p w:rsidR="00E82313" w:rsidRPr="00903AA6" w:rsidRDefault="00E82313" w:rsidP="00E82313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903AA6">
        <w:rPr>
          <w:rFonts w:ascii="Arial" w:hAnsi="Arial"/>
        </w:rPr>
        <w:t xml:space="preserve">It was observed that the TE market review policies </w:t>
      </w:r>
      <w:r w:rsidR="00976FC9">
        <w:rPr>
          <w:rFonts w:ascii="Arial" w:hAnsi="Arial"/>
        </w:rPr>
        <w:t xml:space="preserve">might be </w:t>
      </w:r>
      <w:r w:rsidRPr="00903AA6">
        <w:rPr>
          <w:rFonts w:ascii="Arial" w:hAnsi="Arial"/>
        </w:rPr>
        <w:t>part of a broader to undermine the university TE sector, and the risks of doing this have been made clear to them.</w:t>
      </w:r>
    </w:p>
    <w:p w:rsidR="00976FC9" w:rsidRDefault="00E82313" w:rsidP="00757915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976FC9">
        <w:rPr>
          <w:rFonts w:ascii="Arial" w:hAnsi="Arial"/>
        </w:rPr>
        <w:lastRenderedPageBreak/>
        <w:t>Potential employers</w:t>
      </w:r>
      <w:r w:rsidR="00976FC9" w:rsidRPr="00976FC9">
        <w:rPr>
          <w:rFonts w:ascii="Arial" w:hAnsi="Arial"/>
        </w:rPr>
        <w:t xml:space="preserve"> such as MATs, and organisations such as</w:t>
      </w:r>
      <w:r w:rsidR="00976FC9">
        <w:rPr>
          <w:rFonts w:ascii="Arial" w:hAnsi="Arial"/>
        </w:rPr>
        <w:t xml:space="preserve"> </w:t>
      </w:r>
      <w:r w:rsidR="00976FC9" w:rsidRPr="00976FC9">
        <w:rPr>
          <w:rFonts w:ascii="Arial" w:hAnsi="Arial"/>
        </w:rPr>
        <w:t>Teacher School Hubs, should be briefed about the review and</w:t>
      </w:r>
      <w:r w:rsidR="00976FC9">
        <w:rPr>
          <w:rFonts w:ascii="Arial" w:hAnsi="Arial"/>
        </w:rPr>
        <w:t xml:space="preserve"> the contribution that the HE s</w:t>
      </w:r>
      <w:r w:rsidR="00976FC9" w:rsidRPr="00976FC9">
        <w:rPr>
          <w:rFonts w:ascii="Arial" w:hAnsi="Arial"/>
        </w:rPr>
        <w:t>ector makes to teacher education and how HEIs might work in partnership w</w:t>
      </w:r>
      <w:r w:rsidR="00976FC9">
        <w:rPr>
          <w:rFonts w:ascii="Arial" w:hAnsi="Arial"/>
        </w:rPr>
        <w:t>i</w:t>
      </w:r>
      <w:r w:rsidR="00976FC9" w:rsidRPr="00976FC9">
        <w:rPr>
          <w:rFonts w:ascii="Arial" w:hAnsi="Arial"/>
        </w:rPr>
        <w:t xml:space="preserve">th them on teacher education. </w:t>
      </w:r>
      <w:r w:rsidR="00976FC9">
        <w:rPr>
          <w:rFonts w:ascii="Arial" w:hAnsi="Arial"/>
        </w:rPr>
        <w:t xml:space="preserve">It was </w:t>
      </w:r>
      <w:r w:rsidR="00976FC9" w:rsidRPr="00976FC9">
        <w:rPr>
          <w:rFonts w:ascii="Arial" w:hAnsi="Arial"/>
          <w:b/>
        </w:rPr>
        <w:t>agreed</w:t>
      </w:r>
      <w:r w:rsidR="00976FC9">
        <w:rPr>
          <w:rFonts w:ascii="Arial" w:hAnsi="Arial"/>
        </w:rPr>
        <w:t xml:space="preserve"> </w:t>
      </w:r>
      <w:r w:rsidR="00976FC9" w:rsidRPr="00976FC9">
        <w:rPr>
          <w:rFonts w:ascii="Arial" w:hAnsi="Arial"/>
        </w:rPr>
        <w:t xml:space="preserve">to </w:t>
      </w:r>
      <w:r w:rsidR="00976FC9">
        <w:rPr>
          <w:rFonts w:ascii="Arial" w:hAnsi="Arial"/>
        </w:rPr>
        <w:t>p</w:t>
      </w:r>
      <w:r w:rsidR="00976FC9" w:rsidRPr="00976FC9">
        <w:rPr>
          <w:rFonts w:ascii="Arial" w:hAnsi="Arial"/>
        </w:rPr>
        <w:t>roduce a paper for UCET members to use in discussions with MATs, Teaching School Hubs and other organisations.</w:t>
      </w:r>
    </w:p>
    <w:p w:rsidR="00757915" w:rsidRPr="00976FC9" w:rsidRDefault="00976FC9" w:rsidP="00757915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Select Committee t</w:t>
      </w:r>
      <w:r w:rsidRPr="00976FC9">
        <w:rPr>
          <w:rFonts w:ascii="Arial" w:hAnsi="Arial"/>
        </w:rPr>
        <w:t>ype evidence sessions on the Review were being organised by the APPG.</w:t>
      </w:r>
      <w:r>
        <w:rPr>
          <w:rFonts w:ascii="Arial" w:hAnsi="Arial"/>
          <w:b/>
        </w:rPr>
        <w:t xml:space="preserve"> </w:t>
      </w:r>
    </w:p>
    <w:p w:rsidR="003507B5" w:rsidRDefault="003507B5" w:rsidP="00E82313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It was</w:t>
      </w:r>
      <w:r w:rsidRPr="003507B5">
        <w:rPr>
          <w:rFonts w:ascii="Arial" w:hAnsi="Arial"/>
        </w:rPr>
        <w:t xml:space="preserve"> </w:t>
      </w:r>
      <w:r w:rsidRPr="003507B5">
        <w:rPr>
          <w:rFonts w:ascii="Arial" w:hAnsi="Arial"/>
          <w:b/>
        </w:rPr>
        <w:t>agreed</w:t>
      </w:r>
      <w:r w:rsidRPr="003507B5">
        <w:rPr>
          <w:rFonts w:ascii="Arial" w:hAnsi="Arial"/>
        </w:rPr>
        <w:t xml:space="preserve"> that formal and informal discussions with DfE should</w:t>
      </w:r>
      <w:r>
        <w:rPr>
          <w:rFonts w:ascii="Arial" w:hAnsi="Arial"/>
        </w:rPr>
        <w:t xml:space="preserve"> continue, and that they be remi</w:t>
      </w:r>
      <w:r w:rsidRPr="003507B5">
        <w:rPr>
          <w:rFonts w:ascii="Arial" w:hAnsi="Arial"/>
        </w:rPr>
        <w:t xml:space="preserve">nded about the possible impact of the Review of teacher supply and quality. </w:t>
      </w:r>
    </w:p>
    <w:p w:rsidR="00E64876" w:rsidRPr="003507B5" w:rsidRDefault="00E64876" w:rsidP="00E82313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3507B5">
        <w:rPr>
          <w:rFonts w:ascii="Arial" w:hAnsi="Arial"/>
        </w:rPr>
        <w:t xml:space="preserve">It was noted that the ITT MR appears to be ideologically-driven and, coupled with the Institute of Teaching, the MR is an attempt to control every aspect of ITT, from recruitment, curriculum planning/provision to supply and inspection. The IoT is a pseudo-HEI institution influenced by American models of non-graduate schools and that it is important to work with school partners/Teaching School hubs who may be persuaded by this pseudo HEI model. </w:t>
      </w:r>
    </w:p>
    <w:p w:rsidR="00903AA6" w:rsidRPr="00903AA6" w:rsidRDefault="00903AA6" w:rsidP="00903AA6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Regulatory Issues</w:t>
      </w:r>
    </w:p>
    <w:p w:rsidR="00903AA6" w:rsidRPr="00903AA6" w:rsidRDefault="00903AA6" w:rsidP="00903AA6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903AA6">
        <w:rPr>
          <w:rFonts w:ascii="Arial" w:hAnsi="Arial"/>
        </w:rPr>
        <w:t>OfSTED inspections will resume on 5</w:t>
      </w:r>
      <w:r w:rsidRPr="00903AA6">
        <w:rPr>
          <w:rFonts w:ascii="Arial" w:hAnsi="Arial"/>
          <w:vertAlign w:val="superscript"/>
        </w:rPr>
        <w:t>th</w:t>
      </w:r>
      <w:r w:rsidRPr="00903AA6">
        <w:rPr>
          <w:rFonts w:ascii="Arial" w:hAnsi="Arial"/>
        </w:rPr>
        <w:t xml:space="preserve"> May. Providers to contact JNR if they have questions or need advice. </w:t>
      </w:r>
    </w:p>
    <w:p w:rsidR="00903AA6" w:rsidRPr="00903AA6" w:rsidRDefault="003507B5" w:rsidP="00903AA6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The CCF will be a key </w:t>
      </w:r>
      <w:r w:rsidR="00903AA6" w:rsidRPr="00903AA6">
        <w:rPr>
          <w:rFonts w:ascii="Arial" w:hAnsi="Arial"/>
        </w:rPr>
        <w:t xml:space="preserve">focus of the inspections, </w:t>
      </w:r>
      <w:r>
        <w:rPr>
          <w:rFonts w:ascii="Arial" w:hAnsi="Arial"/>
        </w:rPr>
        <w:t xml:space="preserve">and it is important </w:t>
      </w:r>
      <w:proofErr w:type="spellStart"/>
      <w:r>
        <w:rPr>
          <w:rFonts w:ascii="Arial" w:hAnsi="Arial"/>
        </w:rPr>
        <w:t>tat</w:t>
      </w:r>
      <w:proofErr w:type="spellEnd"/>
      <w:r>
        <w:rPr>
          <w:rFonts w:ascii="Arial" w:hAnsi="Arial"/>
        </w:rPr>
        <w:t xml:space="preserve"> student teachers are able to articulate how they have received their CCF entitlement. There were concerns that OfSTED was being steered towards actively looking for examples of CCF nob-compliance. </w:t>
      </w:r>
      <w:r w:rsidR="00903AA6" w:rsidRPr="00903AA6">
        <w:rPr>
          <w:rFonts w:ascii="Arial" w:hAnsi="Arial"/>
        </w:rPr>
        <w:t xml:space="preserve"> </w:t>
      </w:r>
    </w:p>
    <w:p w:rsidR="00903AA6" w:rsidRPr="00903AA6" w:rsidRDefault="00903AA6" w:rsidP="00903AA6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903AA6">
        <w:rPr>
          <w:rFonts w:ascii="Arial" w:hAnsi="Arial"/>
        </w:rPr>
        <w:t xml:space="preserve">JNR and KM are happy to offer support and guidance to colleagues who want to speak to their VCs. </w:t>
      </w:r>
    </w:p>
    <w:p w:rsidR="00903AA6" w:rsidRDefault="00903AA6" w:rsidP="00903AA6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Covid 19</w:t>
      </w:r>
    </w:p>
    <w:p w:rsidR="00903AA6" w:rsidRPr="00903AA6" w:rsidRDefault="00903AA6" w:rsidP="00903AA6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903AA6">
        <w:rPr>
          <w:rFonts w:ascii="Arial" w:hAnsi="Arial"/>
        </w:rPr>
        <w:t xml:space="preserve">There is concern around placements still, especially as things are changing so quickly. </w:t>
      </w:r>
    </w:p>
    <w:p w:rsidR="00903AA6" w:rsidRPr="00903AA6" w:rsidRDefault="00903AA6" w:rsidP="00903AA6">
      <w:pPr>
        <w:pStyle w:val="ListParagraph"/>
        <w:numPr>
          <w:ilvl w:val="0"/>
          <w:numId w:val="14"/>
        </w:numPr>
        <w:rPr>
          <w:rFonts w:ascii="Arial" w:hAnsi="Arial"/>
        </w:rPr>
      </w:pPr>
      <w:bookmarkStart w:id="0" w:name="_GoBack"/>
      <w:bookmarkEnd w:id="0"/>
      <w:r w:rsidRPr="00903AA6">
        <w:rPr>
          <w:rFonts w:ascii="Arial" w:hAnsi="Arial"/>
        </w:rPr>
        <w:t xml:space="preserve">Flexibility around models of placement is needed for both teaching and student placements. UCET needs to ask what contingency plans do both the DfE and HEIs have in place. </w:t>
      </w:r>
    </w:p>
    <w:p w:rsidR="00903AA6" w:rsidRDefault="00903AA6" w:rsidP="00903AA6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Arrangements for the afternoon meeting</w:t>
      </w:r>
    </w:p>
    <w:p w:rsidR="00903AA6" w:rsidRPr="00903AA6" w:rsidRDefault="00903AA6" w:rsidP="00903AA6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903AA6">
        <w:rPr>
          <w:rFonts w:ascii="Arial" w:hAnsi="Arial"/>
        </w:rPr>
        <w:t xml:space="preserve">The afternoon did not go ahead as noted above. </w:t>
      </w:r>
    </w:p>
    <w:p w:rsidR="00903AA6" w:rsidRDefault="00903AA6" w:rsidP="00903AA6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Items for information</w:t>
      </w:r>
    </w:p>
    <w:p w:rsidR="00903AA6" w:rsidRPr="00903AA6" w:rsidRDefault="00903AA6" w:rsidP="00903AA6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903AA6">
        <w:rPr>
          <w:rFonts w:ascii="Arial" w:hAnsi="Arial"/>
        </w:rPr>
        <w:t xml:space="preserve">Noted. </w:t>
      </w:r>
    </w:p>
    <w:p w:rsidR="00903AA6" w:rsidRDefault="00903AA6" w:rsidP="00903AA6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Date of the next meeting: </w:t>
      </w:r>
      <w:r w:rsidRPr="00903AA6">
        <w:rPr>
          <w:rFonts w:ascii="Arial" w:hAnsi="Arial"/>
          <w:b/>
          <w:sz w:val="24"/>
          <w:szCs w:val="24"/>
        </w:rPr>
        <w:t>29</w:t>
      </w:r>
      <w:r w:rsidRPr="00903AA6">
        <w:rPr>
          <w:rFonts w:ascii="Arial" w:hAnsi="Arial"/>
          <w:b/>
          <w:sz w:val="24"/>
          <w:szCs w:val="24"/>
          <w:vertAlign w:val="superscript"/>
        </w:rPr>
        <w:t>th</w:t>
      </w:r>
      <w:r w:rsidRPr="00903AA6">
        <w:rPr>
          <w:rFonts w:ascii="Arial" w:hAnsi="Arial"/>
          <w:b/>
          <w:sz w:val="24"/>
          <w:szCs w:val="24"/>
        </w:rPr>
        <w:t xml:space="preserve"> June (a.m. only)</w:t>
      </w:r>
      <w:r>
        <w:rPr>
          <w:rFonts w:ascii="Arial" w:hAnsi="Arial"/>
          <w:sz w:val="24"/>
          <w:szCs w:val="24"/>
        </w:rPr>
        <w:t xml:space="preserve"> </w:t>
      </w:r>
    </w:p>
    <w:p w:rsidR="00E82313" w:rsidRDefault="00E82313" w:rsidP="00E82313"/>
    <w:p w:rsidR="00C12840" w:rsidRPr="00903AA6" w:rsidRDefault="00C12840" w:rsidP="00903AA6"/>
    <w:p w:rsidR="00C12840" w:rsidRDefault="00C12840" w:rsidP="00C12840"/>
    <w:p w:rsidR="00C90211" w:rsidRDefault="00C90211"/>
    <w:sectPr w:rsidR="00C90211" w:rsidSect="00161AF8">
      <w:type w:val="continuous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70C"/>
    <w:multiLevelType w:val="hybridMultilevel"/>
    <w:tmpl w:val="813E9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F273A"/>
    <w:multiLevelType w:val="hybridMultilevel"/>
    <w:tmpl w:val="CB6C6CE6"/>
    <w:lvl w:ilvl="0" w:tplc="25209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B33E3"/>
    <w:multiLevelType w:val="hybridMultilevel"/>
    <w:tmpl w:val="7D525542"/>
    <w:lvl w:ilvl="0" w:tplc="D860724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4F4843"/>
    <w:multiLevelType w:val="hybridMultilevel"/>
    <w:tmpl w:val="03007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53662"/>
    <w:multiLevelType w:val="hybridMultilevel"/>
    <w:tmpl w:val="5B52B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F5674C"/>
    <w:multiLevelType w:val="hybridMultilevel"/>
    <w:tmpl w:val="16202E6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DB54E08"/>
    <w:multiLevelType w:val="hybridMultilevel"/>
    <w:tmpl w:val="853CD39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0F91F59"/>
    <w:multiLevelType w:val="hybridMultilevel"/>
    <w:tmpl w:val="6F0A4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6F2D31"/>
    <w:multiLevelType w:val="hybridMultilevel"/>
    <w:tmpl w:val="E0C2F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F52D5B"/>
    <w:multiLevelType w:val="hybridMultilevel"/>
    <w:tmpl w:val="53A2E9E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A75789E"/>
    <w:multiLevelType w:val="hybridMultilevel"/>
    <w:tmpl w:val="44BC6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0D191B"/>
    <w:multiLevelType w:val="hybridMultilevel"/>
    <w:tmpl w:val="AB9CF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E4545"/>
    <w:multiLevelType w:val="hybridMultilevel"/>
    <w:tmpl w:val="6BC00F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C20C66"/>
    <w:multiLevelType w:val="hybridMultilevel"/>
    <w:tmpl w:val="AB045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123DFE"/>
    <w:multiLevelType w:val="hybridMultilevel"/>
    <w:tmpl w:val="E5B29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40"/>
    <w:rsid w:val="000D45CD"/>
    <w:rsid w:val="00273959"/>
    <w:rsid w:val="003507B5"/>
    <w:rsid w:val="006F38AA"/>
    <w:rsid w:val="00757915"/>
    <w:rsid w:val="00903AA6"/>
    <w:rsid w:val="00976FC9"/>
    <w:rsid w:val="009927E2"/>
    <w:rsid w:val="00C12840"/>
    <w:rsid w:val="00C90211"/>
    <w:rsid w:val="00E053C4"/>
    <w:rsid w:val="00E64876"/>
    <w:rsid w:val="00E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569E1-C5DB-4BCE-9819-BD29FFE6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40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40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James Noble-Rogers</cp:lastModifiedBy>
  <cp:revision>3</cp:revision>
  <dcterms:created xsi:type="dcterms:W3CDTF">2021-05-06T13:09:00Z</dcterms:created>
  <dcterms:modified xsi:type="dcterms:W3CDTF">2021-05-06T13:44:00Z</dcterms:modified>
</cp:coreProperties>
</file>