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C70" w:rsidRPr="00C93C70" w:rsidRDefault="00C93C70" w:rsidP="00805F32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Background</w:t>
      </w:r>
    </w:p>
    <w:p w:rsidR="000F778D" w:rsidRDefault="000F778D" w:rsidP="00805F3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Details of the </w:t>
      </w:r>
      <w:r w:rsidRPr="005560A5">
        <w:rPr>
          <w:rFonts w:ascii="Arial" w:hAnsi="Arial" w:cs="Arial"/>
          <w:sz w:val="24"/>
          <w:szCs w:val="24"/>
        </w:rPr>
        <w:t>Institute of Teaching (IOT) were published</w:t>
      </w:r>
      <w:r>
        <w:rPr>
          <w:rFonts w:ascii="Arial" w:hAnsi="Arial" w:cs="Arial"/>
          <w:sz w:val="24"/>
          <w:szCs w:val="24"/>
        </w:rPr>
        <w:t xml:space="preserve">, alongside information about the market review, </w:t>
      </w:r>
      <w:r w:rsidRPr="005560A5">
        <w:rPr>
          <w:rFonts w:ascii="Arial" w:hAnsi="Arial" w:cs="Arial"/>
          <w:sz w:val="24"/>
          <w:szCs w:val="24"/>
        </w:rPr>
        <w:t xml:space="preserve">on 2 January. </w:t>
      </w:r>
      <w:r>
        <w:rPr>
          <w:rFonts w:ascii="Arial" w:hAnsi="Arial" w:cs="Arial"/>
          <w:sz w:val="24"/>
          <w:szCs w:val="24"/>
        </w:rPr>
        <w:t>The two initiatives are technically independent of one another</w:t>
      </w:r>
      <w:r w:rsidR="00805F3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the MR EAG is not looking at the IOT. However, the fact that they were announced together</w:t>
      </w:r>
      <w:r w:rsidR="00805F3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DfE has described the IOT as bein</w:t>
      </w:r>
      <w:r w:rsidR="00C93C70">
        <w:rPr>
          <w:rFonts w:ascii="Arial" w:hAnsi="Arial" w:cs="Arial"/>
          <w:sz w:val="24"/>
          <w:szCs w:val="24"/>
        </w:rPr>
        <w:t xml:space="preserve">g part of </w:t>
      </w:r>
      <w:r w:rsidR="00805F32">
        <w:rPr>
          <w:rFonts w:ascii="Arial" w:hAnsi="Arial" w:cs="Arial"/>
          <w:sz w:val="24"/>
          <w:szCs w:val="24"/>
        </w:rPr>
        <w:t xml:space="preserve">an </w:t>
      </w:r>
      <w:r w:rsidR="00C93C70">
        <w:rPr>
          <w:rFonts w:ascii="Arial" w:hAnsi="Arial" w:cs="Arial"/>
          <w:i/>
          <w:sz w:val="24"/>
          <w:szCs w:val="24"/>
        </w:rPr>
        <w:t xml:space="preserve">‘ambitious’ </w:t>
      </w:r>
      <w:r w:rsidR="00C93C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reform of initial teacher education </w:t>
      </w:r>
      <w:r w:rsidR="00805F32">
        <w:rPr>
          <w:rFonts w:ascii="Arial" w:hAnsi="Arial" w:cs="Arial"/>
          <w:sz w:val="24"/>
          <w:szCs w:val="24"/>
        </w:rPr>
        <w:t xml:space="preserve">suggest </w:t>
      </w:r>
      <w:r>
        <w:rPr>
          <w:rFonts w:ascii="Arial" w:hAnsi="Arial" w:cs="Arial"/>
          <w:sz w:val="24"/>
          <w:szCs w:val="24"/>
        </w:rPr>
        <w:t>that they are in fact linked. The reference to ‘</w:t>
      </w:r>
      <w:r w:rsidR="00C93C70">
        <w:rPr>
          <w:rFonts w:ascii="Arial" w:hAnsi="Arial" w:cs="Arial"/>
          <w:sz w:val="24"/>
          <w:szCs w:val="24"/>
        </w:rPr>
        <w:t>a</w:t>
      </w:r>
      <w:r w:rsidR="00C93C70" w:rsidRPr="00805F32">
        <w:rPr>
          <w:rFonts w:ascii="Arial" w:hAnsi="Arial" w:cs="Arial"/>
          <w:i/>
          <w:sz w:val="24"/>
          <w:szCs w:val="24"/>
        </w:rPr>
        <w:t>mbitious</w:t>
      </w:r>
      <w:r w:rsidRPr="00805F32">
        <w:rPr>
          <w:rFonts w:ascii="Arial" w:hAnsi="Arial" w:cs="Arial"/>
          <w:i/>
          <w:sz w:val="24"/>
          <w:szCs w:val="24"/>
        </w:rPr>
        <w:t xml:space="preserve"> reform</w:t>
      </w:r>
      <w:r>
        <w:rPr>
          <w:rFonts w:ascii="Arial" w:hAnsi="Arial" w:cs="Arial"/>
          <w:sz w:val="24"/>
          <w:szCs w:val="24"/>
        </w:rPr>
        <w:t xml:space="preserve">’ </w:t>
      </w:r>
      <w:r w:rsidR="00045282">
        <w:rPr>
          <w:rFonts w:ascii="Arial" w:hAnsi="Arial" w:cs="Arial"/>
          <w:sz w:val="24"/>
          <w:szCs w:val="24"/>
        </w:rPr>
        <w:t xml:space="preserve">incidentally </w:t>
      </w:r>
      <w:r w:rsidR="002753E0">
        <w:rPr>
          <w:rFonts w:ascii="Arial" w:hAnsi="Arial" w:cs="Arial"/>
          <w:sz w:val="24"/>
          <w:szCs w:val="24"/>
        </w:rPr>
        <w:t xml:space="preserve">suggests </w:t>
      </w:r>
      <w:r>
        <w:rPr>
          <w:rFonts w:ascii="Arial" w:hAnsi="Arial" w:cs="Arial"/>
          <w:sz w:val="24"/>
          <w:szCs w:val="24"/>
        </w:rPr>
        <w:t xml:space="preserve">that, contrary to statements made, there are at least some preconceptions within DfE about the outcome of the </w:t>
      </w:r>
      <w:r w:rsidR="00136259">
        <w:rPr>
          <w:rFonts w:ascii="Arial" w:hAnsi="Arial" w:cs="Arial"/>
          <w:sz w:val="24"/>
          <w:szCs w:val="24"/>
        </w:rPr>
        <w:t xml:space="preserve">market </w:t>
      </w:r>
      <w:r>
        <w:rPr>
          <w:rFonts w:ascii="Arial" w:hAnsi="Arial" w:cs="Arial"/>
          <w:sz w:val="24"/>
          <w:szCs w:val="24"/>
        </w:rPr>
        <w:t xml:space="preserve">review, as otherwise how would they be able to say that the conclusions will be </w:t>
      </w:r>
      <w:r w:rsidR="00805F32">
        <w:rPr>
          <w:rFonts w:ascii="Arial" w:hAnsi="Arial" w:cs="Arial"/>
          <w:sz w:val="24"/>
          <w:szCs w:val="24"/>
        </w:rPr>
        <w:t>as far reaching as they are suggesting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F778D" w:rsidRDefault="000F778D" w:rsidP="00805F32">
      <w:pPr>
        <w:spacing w:line="360" w:lineRule="auto"/>
        <w:rPr>
          <w:rFonts w:ascii="Arial" w:hAnsi="Arial" w:cs="Arial"/>
          <w:sz w:val="24"/>
          <w:szCs w:val="24"/>
        </w:rPr>
      </w:pPr>
      <w:r w:rsidRPr="005560A5">
        <w:rPr>
          <w:rFonts w:ascii="Arial" w:hAnsi="Arial" w:cs="Arial"/>
          <w:sz w:val="24"/>
          <w:szCs w:val="24"/>
        </w:rPr>
        <w:t>The IOT will</w:t>
      </w:r>
      <w:r>
        <w:rPr>
          <w:rFonts w:ascii="Arial" w:hAnsi="Arial" w:cs="Arial"/>
          <w:sz w:val="24"/>
          <w:szCs w:val="24"/>
        </w:rPr>
        <w:t>, according to DfE,</w:t>
      </w:r>
      <w:r w:rsidRPr="005560A5">
        <w:rPr>
          <w:rFonts w:ascii="Arial" w:hAnsi="Arial" w:cs="Arial"/>
          <w:sz w:val="24"/>
          <w:szCs w:val="24"/>
        </w:rPr>
        <w:t xml:space="preserve"> deliver ITE, EC</w:t>
      </w:r>
      <w:r w:rsidR="00136259">
        <w:rPr>
          <w:rFonts w:ascii="Arial" w:hAnsi="Arial" w:cs="Arial"/>
          <w:sz w:val="24"/>
          <w:szCs w:val="24"/>
        </w:rPr>
        <w:t xml:space="preserve">F and NPQs nationally. </w:t>
      </w:r>
      <w:r w:rsidRPr="005560A5">
        <w:rPr>
          <w:rFonts w:ascii="Arial" w:hAnsi="Arial" w:cs="Arial"/>
          <w:sz w:val="24"/>
          <w:szCs w:val="24"/>
        </w:rPr>
        <w:t>The total cost will be about £2m pa for each year of a three year contract</w:t>
      </w:r>
      <w:r w:rsidR="00136259">
        <w:rPr>
          <w:rFonts w:ascii="Arial" w:hAnsi="Arial" w:cs="Arial"/>
          <w:sz w:val="24"/>
          <w:szCs w:val="24"/>
        </w:rPr>
        <w:t>,</w:t>
      </w:r>
      <w:r w:rsidRPr="005560A5">
        <w:rPr>
          <w:rFonts w:ascii="Arial" w:hAnsi="Arial" w:cs="Arial"/>
          <w:sz w:val="24"/>
          <w:szCs w:val="24"/>
        </w:rPr>
        <w:t xml:space="preserve"> with options to extend. There may be a pilot ITE c</w:t>
      </w:r>
      <w:r w:rsidR="00045282">
        <w:rPr>
          <w:rFonts w:ascii="Arial" w:hAnsi="Arial" w:cs="Arial"/>
          <w:sz w:val="24"/>
          <w:szCs w:val="24"/>
        </w:rPr>
        <w:t xml:space="preserve">ohort in September 2022, but for ITE it </w:t>
      </w:r>
      <w:r w:rsidRPr="005560A5">
        <w:rPr>
          <w:rFonts w:ascii="Arial" w:hAnsi="Arial" w:cs="Arial"/>
          <w:sz w:val="24"/>
          <w:szCs w:val="24"/>
        </w:rPr>
        <w:t xml:space="preserve">will really come on stream a year later, building up to 1,000 ITE students by September 2024. </w:t>
      </w:r>
      <w:r w:rsidR="00D141A8">
        <w:rPr>
          <w:rFonts w:ascii="Arial" w:hAnsi="Arial" w:cs="Arial"/>
          <w:sz w:val="24"/>
          <w:szCs w:val="24"/>
        </w:rPr>
        <w:t xml:space="preserve"> </w:t>
      </w:r>
      <w:r w:rsidR="00573898">
        <w:rPr>
          <w:rFonts w:ascii="Arial" w:hAnsi="Arial" w:cs="Arial"/>
          <w:sz w:val="24"/>
          <w:szCs w:val="24"/>
        </w:rPr>
        <w:t>In addition to ITE students, the intention is that it will train around 2,000 early career teachers each year, 2,000 mentors and 1,000 NPQs</w:t>
      </w:r>
    </w:p>
    <w:p w:rsidR="00C93C70" w:rsidRPr="00C93C70" w:rsidRDefault="00C93C70" w:rsidP="00805F32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Key facts</w:t>
      </w:r>
    </w:p>
    <w:p w:rsidR="000F778D" w:rsidRDefault="000F778D" w:rsidP="00805F3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Key parts of the DfE announcement of the IOT and the slides from the market warming events include:</w:t>
      </w:r>
    </w:p>
    <w:p w:rsidR="000F778D" w:rsidRDefault="00573898" w:rsidP="00805F3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Institute will operate through at least four regional campuses</w:t>
      </w:r>
      <w:r w:rsidR="002C1ED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will deliver ‘</w:t>
      </w:r>
      <w:r w:rsidRPr="002753E0">
        <w:rPr>
          <w:rFonts w:ascii="Arial" w:hAnsi="Arial" w:cs="Arial"/>
          <w:i/>
          <w:sz w:val="24"/>
          <w:szCs w:val="24"/>
        </w:rPr>
        <w:t>evidence-based approaches</w:t>
      </w:r>
      <w:r w:rsidR="00136259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to teacher training, and will include mentoring and early career support, and be part of</w:t>
      </w:r>
      <w:r w:rsidR="002753E0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ECF reforms</w:t>
      </w:r>
      <w:r w:rsidR="00805F32">
        <w:rPr>
          <w:rFonts w:ascii="Arial" w:hAnsi="Arial" w:cs="Arial"/>
          <w:sz w:val="24"/>
          <w:szCs w:val="24"/>
        </w:rPr>
        <w:t>.</w:t>
      </w:r>
    </w:p>
    <w:p w:rsidR="00573898" w:rsidRDefault="00573898" w:rsidP="00805F3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Training will be deliver</w:t>
      </w:r>
      <w:r w:rsidR="00805F32">
        <w:rPr>
          <w:rFonts w:ascii="Arial" w:hAnsi="Arial" w:cs="Arial"/>
          <w:sz w:val="24"/>
          <w:szCs w:val="24"/>
        </w:rPr>
        <w:t>ed</w:t>
      </w:r>
      <w:r w:rsidR="00136259">
        <w:rPr>
          <w:rFonts w:ascii="Arial" w:hAnsi="Arial" w:cs="Arial"/>
          <w:sz w:val="24"/>
          <w:szCs w:val="24"/>
        </w:rPr>
        <w:t xml:space="preserve"> through a blend of</w:t>
      </w:r>
      <w:r>
        <w:rPr>
          <w:rFonts w:ascii="Arial" w:hAnsi="Arial" w:cs="Arial"/>
          <w:sz w:val="24"/>
          <w:szCs w:val="24"/>
        </w:rPr>
        <w:t xml:space="preserve"> on-line, face to face and school-based means</w:t>
      </w:r>
      <w:r w:rsidR="00805F32">
        <w:rPr>
          <w:rFonts w:ascii="Arial" w:hAnsi="Arial" w:cs="Arial"/>
          <w:sz w:val="24"/>
          <w:szCs w:val="24"/>
        </w:rPr>
        <w:t>.</w:t>
      </w:r>
    </w:p>
    <w:p w:rsidR="00573898" w:rsidRDefault="00805F32" w:rsidP="00805F3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Institute will b</w:t>
      </w:r>
      <w:r w:rsidR="00573898">
        <w:rPr>
          <w:rFonts w:ascii="Arial" w:hAnsi="Arial" w:cs="Arial"/>
          <w:sz w:val="24"/>
          <w:szCs w:val="24"/>
        </w:rPr>
        <w:t>uild evidence about the most effective approaches to teacher training &amp; development, and will ‘</w:t>
      </w:r>
      <w:r w:rsidR="00573898" w:rsidRPr="00805F32">
        <w:rPr>
          <w:rFonts w:ascii="Arial" w:hAnsi="Arial" w:cs="Arial"/>
          <w:i/>
          <w:sz w:val="24"/>
          <w:szCs w:val="24"/>
        </w:rPr>
        <w:t>support</w:t>
      </w:r>
      <w:r w:rsidR="00573898">
        <w:rPr>
          <w:rFonts w:ascii="Arial" w:hAnsi="Arial" w:cs="Arial"/>
          <w:sz w:val="24"/>
          <w:szCs w:val="24"/>
        </w:rPr>
        <w:t>’ other organisations such as teaching school hubs to understand and implement ‘</w:t>
      </w:r>
      <w:r w:rsidR="00573898" w:rsidRPr="00805F32">
        <w:rPr>
          <w:rFonts w:ascii="Arial" w:hAnsi="Arial" w:cs="Arial"/>
          <w:i/>
          <w:sz w:val="24"/>
          <w:szCs w:val="24"/>
        </w:rPr>
        <w:t>best practice</w:t>
      </w:r>
      <w:r w:rsidR="00573898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.</w:t>
      </w:r>
    </w:p>
    <w:p w:rsidR="00984C41" w:rsidRDefault="00984C41" w:rsidP="00805F3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Institute is part of a range of reforms, including the ECF and CCF, aimed at developing a </w:t>
      </w:r>
      <w:r w:rsidRPr="00984C41">
        <w:rPr>
          <w:rFonts w:ascii="Arial" w:hAnsi="Arial" w:cs="Arial"/>
          <w:i/>
          <w:sz w:val="24"/>
          <w:szCs w:val="24"/>
        </w:rPr>
        <w:t>‘shared understanding of what works</w:t>
      </w:r>
      <w:r>
        <w:rPr>
          <w:rFonts w:ascii="Arial" w:hAnsi="Arial" w:cs="Arial"/>
          <w:sz w:val="24"/>
          <w:szCs w:val="24"/>
        </w:rPr>
        <w:t>’</w:t>
      </w:r>
      <w:r w:rsidR="00805F32">
        <w:rPr>
          <w:rFonts w:ascii="Arial" w:hAnsi="Arial" w:cs="Arial"/>
          <w:sz w:val="24"/>
          <w:szCs w:val="24"/>
        </w:rPr>
        <w:t>.</w:t>
      </w:r>
    </w:p>
    <w:p w:rsidR="00984C41" w:rsidRDefault="00984C41" w:rsidP="00805F3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IOT suppliers will be selected through a procurement exercise to </w:t>
      </w:r>
      <w:r w:rsidR="00136259">
        <w:rPr>
          <w:rFonts w:ascii="Arial" w:hAnsi="Arial" w:cs="Arial"/>
          <w:sz w:val="24"/>
          <w:szCs w:val="24"/>
        </w:rPr>
        <w:t xml:space="preserve">choose </w:t>
      </w:r>
      <w:r>
        <w:rPr>
          <w:rFonts w:ascii="Arial" w:hAnsi="Arial" w:cs="Arial"/>
          <w:i/>
          <w:sz w:val="24"/>
          <w:szCs w:val="24"/>
        </w:rPr>
        <w:t>a supplier’</w:t>
      </w:r>
      <w:r>
        <w:rPr>
          <w:rFonts w:ascii="Arial" w:hAnsi="Arial" w:cs="Arial"/>
          <w:sz w:val="24"/>
          <w:szCs w:val="24"/>
        </w:rPr>
        <w:t xml:space="preserve">’ or a </w:t>
      </w:r>
      <w:r>
        <w:rPr>
          <w:rFonts w:ascii="Arial" w:hAnsi="Arial" w:cs="Arial"/>
          <w:i/>
          <w:sz w:val="24"/>
          <w:szCs w:val="24"/>
        </w:rPr>
        <w:t xml:space="preserve">‘consortium of suppliers’. </w:t>
      </w:r>
      <w:r>
        <w:rPr>
          <w:rFonts w:ascii="Arial" w:hAnsi="Arial" w:cs="Arial"/>
          <w:sz w:val="24"/>
          <w:szCs w:val="24"/>
        </w:rPr>
        <w:t xml:space="preserve">It is expected that the Institute will be established by </w:t>
      </w:r>
      <w:r>
        <w:rPr>
          <w:rFonts w:ascii="Arial" w:hAnsi="Arial" w:cs="Arial"/>
          <w:i/>
          <w:sz w:val="24"/>
          <w:szCs w:val="24"/>
        </w:rPr>
        <w:t>‘existing high quality providers’.</w:t>
      </w:r>
    </w:p>
    <w:p w:rsidR="00984C41" w:rsidRDefault="00984C41" w:rsidP="00805F3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will become England’s flagship provider and a national role-model, and will </w:t>
      </w:r>
      <w:r>
        <w:rPr>
          <w:rFonts w:ascii="Arial" w:hAnsi="Arial" w:cs="Arial"/>
          <w:i/>
          <w:sz w:val="24"/>
          <w:szCs w:val="24"/>
        </w:rPr>
        <w:t xml:space="preserve">‘support’ </w:t>
      </w:r>
      <w:r>
        <w:rPr>
          <w:rFonts w:ascii="Arial" w:hAnsi="Arial" w:cs="Arial"/>
          <w:sz w:val="24"/>
          <w:szCs w:val="24"/>
        </w:rPr>
        <w:t>others across the sector.</w:t>
      </w:r>
    </w:p>
    <w:p w:rsidR="00814651" w:rsidRDefault="00814651" w:rsidP="00805F3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IOT will have its own legal identity. Activities will be delivered on national, regional or local levels, and might involve partners or sub-contractors (e.g. schools).</w:t>
      </w:r>
    </w:p>
    <w:p w:rsidR="00814651" w:rsidRDefault="00814651" w:rsidP="00805F3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Institute will have its own degree awarding powers that </w:t>
      </w:r>
      <w:r w:rsidR="007C49F9">
        <w:rPr>
          <w:rFonts w:ascii="Arial" w:hAnsi="Arial" w:cs="Arial"/>
          <w:sz w:val="24"/>
          <w:szCs w:val="24"/>
        </w:rPr>
        <w:t xml:space="preserve">will allow it to award </w:t>
      </w:r>
      <w:r>
        <w:rPr>
          <w:rFonts w:ascii="Arial" w:hAnsi="Arial" w:cs="Arial"/>
          <w:sz w:val="24"/>
          <w:szCs w:val="24"/>
        </w:rPr>
        <w:t>PGCEs independent of an HEI, and over time will be ab</w:t>
      </w:r>
      <w:r w:rsidR="00C93C70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 to validate PGCEs offered by other organisations. </w:t>
      </w:r>
    </w:p>
    <w:p w:rsidR="00C93C70" w:rsidRDefault="00C93C70" w:rsidP="00805F3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Key questions</w:t>
      </w:r>
    </w:p>
    <w:p w:rsidR="00C93C70" w:rsidRDefault="00C93C70" w:rsidP="00805F3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exactly does the IOT link to other reforms</w:t>
      </w:r>
      <w:r w:rsidR="00805F3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particularly the Market Review and the establishment of the new teaching school hubs?</w:t>
      </w:r>
      <w:r w:rsidR="007C49F9">
        <w:rPr>
          <w:rFonts w:ascii="Arial" w:hAnsi="Arial" w:cs="Arial"/>
          <w:sz w:val="24"/>
          <w:szCs w:val="24"/>
        </w:rPr>
        <w:t xml:space="preserve"> Is there a grand-plan and strategy, or is the link more general and piecemeal? If the latter, is the intention that the reforms will collectively evolve into something more coherent?</w:t>
      </w:r>
    </w:p>
    <w:p w:rsidR="007C49F9" w:rsidRDefault="007C49F9" w:rsidP="00805F3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the IOT intended as a direct threat to the university sector? Giving it the ability to award i</w:t>
      </w:r>
      <w:r w:rsidR="00136259">
        <w:rPr>
          <w:rFonts w:ascii="Arial" w:hAnsi="Arial" w:cs="Arial"/>
          <w:sz w:val="24"/>
          <w:szCs w:val="24"/>
        </w:rPr>
        <w:t>ts own PGCEs</w:t>
      </w:r>
      <w:r>
        <w:rPr>
          <w:rFonts w:ascii="Arial" w:hAnsi="Arial" w:cs="Arial"/>
          <w:sz w:val="24"/>
          <w:szCs w:val="24"/>
        </w:rPr>
        <w:t xml:space="preserve">, and in time validate PGCEs awarded by other organisations, suggests that it is. On the other hand, </w:t>
      </w:r>
      <w:r w:rsidR="00FD3B7E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>reference</w:t>
      </w:r>
      <w:r w:rsidR="00FD3B7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to established high quality providers leading the IOT indicate a potential role for the HE sector?</w:t>
      </w:r>
    </w:p>
    <w:p w:rsidR="007C49F9" w:rsidRDefault="007C49F9" w:rsidP="00805F3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To what extent do references to the IOT being the country’s </w:t>
      </w:r>
      <w:r>
        <w:rPr>
          <w:rFonts w:ascii="Arial" w:hAnsi="Arial" w:cs="Arial"/>
          <w:i/>
          <w:sz w:val="24"/>
          <w:szCs w:val="24"/>
        </w:rPr>
        <w:t xml:space="preserve">‘flagship provider’ 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 xml:space="preserve">‘supporting’ </w:t>
      </w:r>
      <w:r>
        <w:rPr>
          <w:rFonts w:ascii="Arial" w:hAnsi="Arial" w:cs="Arial"/>
          <w:sz w:val="24"/>
          <w:szCs w:val="24"/>
        </w:rPr>
        <w:t>other parts of the sector</w:t>
      </w:r>
      <w:r w:rsidR="00805F32">
        <w:rPr>
          <w:rFonts w:ascii="Arial" w:hAnsi="Arial" w:cs="Arial"/>
          <w:sz w:val="24"/>
          <w:szCs w:val="24"/>
        </w:rPr>
        <w:t xml:space="preserve">, developing a </w:t>
      </w:r>
      <w:r w:rsidR="002C1EDA">
        <w:rPr>
          <w:rFonts w:ascii="Arial" w:hAnsi="Arial" w:cs="Arial"/>
          <w:sz w:val="24"/>
          <w:szCs w:val="24"/>
        </w:rPr>
        <w:t>‘</w:t>
      </w:r>
      <w:r w:rsidR="00805F32" w:rsidRPr="00984C41">
        <w:rPr>
          <w:rFonts w:ascii="Arial" w:hAnsi="Arial" w:cs="Arial"/>
          <w:i/>
          <w:sz w:val="24"/>
          <w:szCs w:val="24"/>
        </w:rPr>
        <w:t>shared understanding of what works</w:t>
      </w:r>
      <w:r w:rsidR="00136259">
        <w:rPr>
          <w:rFonts w:ascii="Arial" w:hAnsi="Arial" w:cs="Arial"/>
          <w:i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and identifying </w:t>
      </w:r>
      <w:r w:rsidR="002C1EDA">
        <w:rPr>
          <w:rFonts w:ascii="Arial" w:hAnsi="Arial" w:cs="Arial"/>
          <w:sz w:val="24"/>
          <w:szCs w:val="24"/>
        </w:rPr>
        <w:t>‘</w:t>
      </w:r>
      <w:r>
        <w:rPr>
          <w:rFonts w:ascii="Arial" w:hAnsi="Arial" w:cs="Arial"/>
          <w:i/>
          <w:sz w:val="24"/>
          <w:szCs w:val="24"/>
        </w:rPr>
        <w:t>best practice’</w:t>
      </w:r>
      <w:r>
        <w:rPr>
          <w:rFonts w:ascii="Arial" w:hAnsi="Arial" w:cs="Arial"/>
          <w:sz w:val="24"/>
          <w:szCs w:val="24"/>
        </w:rPr>
        <w:t xml:space="preserve"> suggest that </w:t>
      </w:r>
      <w:r w:rsidR="005B467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ther </w:t>
      </w:r>
      <w:r w:rsidR="005B4675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arts of the sector will be </w:t>
      </w:r>
      <w:r w:rsidR="005B4675">
        <w:rPr>
          <w:rFonts w:ascii="Arial" w:hAnsi="Arial" w:cs="Arial"/>
          <w:sz w:val="24"/>
          <w:szCs w:val="24"/>
        </w:rPr>
        <w:t>expected or required to follow its lead</w:t>
      </w:r>
      <w:r w:rsidR="002C1EDA">
        <w:rPr>
          <w:rFonts w:ascii="Arial" w:hAnsi="Arial" w:cs="Arial"/>
          <w:sz w:val="24"/>
          <w:szCs w:val="24"/>
        </w:rPr>
        <w:t>?</w:t>
      </w:r>
    </w:p>
    <w:p w:rsidR="002C1EDA" w:rsidRDefault="002C1EDA" w:rsidP="00805F3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scope will there be for other providers to critique and question what the Institute identifies as best practice, and us other approaches?</w:t>
      </w:r>
    </w:p>
    <w:p w:rsidR="005B4675" w:rsidRDefault="00136259" w:rsidP="00805F3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If issued under short term</w:t>
      </w:r>
      <w:r w:rsidR="005B4675">
        <w:rPr>
          <w:rFonts w:ascii="Arial" w:hAnsi="Arial" w:cs="Arial"/>
          <w:sz w:val="24"/>
          <w:szCs w:val="24"/>
        </w:rPr>
        <w:t xml:space="preserve"> funding contracts, how will the transition from one IOT provider to another take place, without risking gaps left </w:t>
      </w:r>
      <w:r w:rsidR="00805F32">
        <w:rPr>
          <w:rFonts w:ascii="Arial" w:hAnsi="Arial" w:cs="Arial"/>
          <w:sz w:val="24"/>
          <w:szCs w:val="24"/>
        </w:rPr>
        <w:t>i</w:t>
      </w:r>
      <w:r w:rsidR="005B4675">
        <w:rPr>
          <w:rFonts w:ascii="Arial" w:hAnsi="Arial" w:cs="Arial"/>
          <w:sz w:val="24"/>
          <w:szCs w:val="24"/>
        </w:rPr>
        <w:t xml:space="preserve">n overall levels of provision and geographical coverage. </w:t>
      </w:r>
    </w:p>
    <w:p w:rsidR="00136259" w:rsidRDefault="00136259" w:rsidP="0013625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conclude, it is tempting to see the ITE market review as being a much more significant development than the IOT. And maybe it is. But it is probably a mistake, one that I have occasionally been guilty of, o</w:t>
      </w:r>
      <w:r w:rsidR="002C1EDA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 dismissing it as simply a vanity project for the </w:t>
      </w:r>
      <w:r w:rsidR="002C1ED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ecretary of State. We do have to look at the bigger picture, and question the longer term implications of its establishment. </w:t>
      </w:r>
    </w:p>
    <w:p w:rsidR="00136259" w:rsidRPr="00136259" w:rsidRDefault="00136259" w:rsidP="0013625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you. </w:t>
      </w:r>
    </w:p>
    <w:p w:rsidR="00C93C70" w:rsidRPr="00C93C70" w:rsidRDefault="00C93C70" w:rsidP="00805F32">
      <w:pPr>
        <w:spacing w:line="360" w:lineRule="auto"/>
        <w:rPr>
          <w:rFonts w:ascii="Arial" w:hAnsi="Arial" w:cs="Arial"/>
          <w:sz w:val="24"/>
          <w:szCs w:val="24"/>
        </w:rPr>
      </w:pPr>
    </w:p>
    <w:p w:rsidR="00C93C70" w:rsidRPr="00C93C70" w:rsidRDefault="00C93C70" w:rsidP="00805F32">
      <w:pPr>
        <w:spacing w:line="360" w:lineRule="auto"/>
        <w:rPr>
          <w:rFonts w:ascii="Arial" w:hAnsi="Arial" w:cs="Arial"/>
          <w:sz w:val="24"/>
          <w:szCs w:val="24"/>
        </w:rPr>
      </w:pPr>
    </w:p>
    <w:p w:rsidR="000F778D" w:rsidRPr="005560A5" w:rsidRDefault="000F778D" w:rsidP="00805F3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0F778D" w:rsidRPr="00556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27D55"/>
    <w:multiLevelType w:val="hybridMultilevel"/>
    <w:tmpl w:val="D8F60E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496A61"/>
    <w:multiLevelType w:val="hybridMultilevel"/>
    <w:tmpl w:val="CAC8DE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8D"/>
    <w:rsid w:val="00045282"/>
    <w:rsid w:val="000F778D"/>
    <w:rsid w:val="00136259"/>
    <w:rsid w:val="001D0E93"/>
    <w:rsid w:val="002753E0"/>
    <w:rsid w:val="002C1EDA"/>
    <w:rsid w:val="00573898"/>
    <w:rsid w:val="005B4675"/>
    <w:rsid w:val="007C49F9"/>
    <w:rsid w:val="00805F32"/>
    <w:rsid w:val="00814651"/>
    <w:rsid w:val="00984C41"/>
    <w:rsid w:val="00C93C70"/>
    <w:rsid w:val="00D141A8"/>
    <w:rsid w:val="00D62FDF"/>
    <w:rsid w:val="00FD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A3A7A7-C732-44C9-84D8-AE3FC641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Noble-Rogers</dc:creator>
  <cp:keywords/>
  <dc:description/>
  <cp:lastModifiedBy>James Noble-Rogers</cp:lastModifiedBy>
  <cp:revision>2</cp:revision>
  <dcterms:created xsi:type="dcterms:W3CDTF">2021-04-08T08:07:00Z</dcterms:created>
  <dcterms:modified xsi:type="dcterms:W3CDTF">2021-04-08T08:07:00Z</dcterms:modified>
</cp:coreProperties>
</file>