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EFE15" w14:textId="3FA80B07" w:rsidR="00E40256" w:rsidRDefault="00550561">
      <w:pPr>
        <w:tabs>
          <w:tab w:val="center" w:pos="4513"/>
          <w:tab w:val="right" w:pos="9078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</w:r>
      <w:r>
        <w:t xml:space="preserve"> </w:t>
      </w:r>
    </w:p>
    <w:p w14:paraId="33B62806" w14:textId="77777777" w:rsidR="00E40256" w:rsidRDefault="00550561">
      <w:pPr>
        <w:spacing w:after="35" w:line="259" w:lineRule="auto"/>
        <w:ind w:left="0" w:firstLine="0"/>
      </w:pPr>
      <w:r>
        <w:t xml:space="preserve"> </w:t>
      </w:r>
    </w:p>
    <w:p w14:paraId="6E2A3117" w14:textId="77777777" w:rsidR="00E40256" w:rsidRDefault="00550561">
      <w:pPr>
        <w:spacing w:after="119" w:line="259" w:lineRule="auto"/>
        <w:ind w:left="0" w:firstLine="0"/>
      </w:pPr>
      <w:r>
        <w:rPr>
          <w:b/>
          <w:sz w:val="28"/>
        </w:rPr>
        <w:t xml:space="preserve">ETF additional guidance for qualifications in Education and Training  </w:t>
      </w:r>
    </w:p>
    <w:p w14:paraId="63AA210F" w14:textId="6A14EE24" w:rsidR="00E40256" w:rsidRDefault="00550561">
      <w:pPr>
        <w:spacing w:after="142" w:line="259" w:lineRule="auto"/>
        <w:ind w:left="0" w:firstLine="0"/>
      </w:pPr>
      <w:r>
        <w:rPr>
          <w:b/>
          <w:sz w:val="24"/>
        </w:rPr>
        <w:t>Qualification mitigations issued 2 October 2020</w:t>
      </w:r>
      <w:r w:rsidR="000443CC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0443CC">
        <w:rPr>
          <w:b/>
          <w:sz w:val="24"/>
        </w:rPr>
        <w:t>updated 2</w:t>
      </w:r>
      <w:r w:rsidR="00B76328">
        <w:rPr>
          <w:b/>
          <w:sz w:val="24"/>
        </w:rPr>
        <w:t>9</w:t>
      </w:r>
      <w:r w:rsidR="000443CC">
        <w:rPr>
          <w:b/>
          <w:sz w:val="24"/>
        </w:rPr>
        <w:t xml:space="preserve"> Jan 2021</w:t>
      </w:r>
    </w:p>
    <w:p w14:paraId="10C33743" w14:textId="77777777" w:rsidR="00E40256" w:rsidRDefault="00550561">
      <w:pPr>
        <w:pStyle w:val="Heading1"/>
        <w:ind w:left="-5"/>
      </w:pPr>
      <w:r>
        <w:t xml:space="preserve">Background </w:t>
      </w:r>
    </w:p>
    <w:p w14:paraId="2C2BADA7" w14:textId="77777777" w:rsidR="00E40256" w:rsidRDefault="00550561">
      <w:pPr>
        <w:ind w:left="-5" w:right="41"/>
      </w:pPr>
      <w:r>
        <w:t>ETF is keen in these fast-</w:t>
      </w:r>
      <w:r>
        <w:t xml:space="preserve">moving times to provide a steer to Awarding Bodies as to appropriate mitigations to put in place re </w:t>
      </w:r>
      <w:proofErr w:type="spellStart"/>
      <w:r>
        <w:t>Covid</w:t>
      </w:r>
      <w:proofErr w:type="spellEnd"/>
      <w:r>
        <w:t xml:space="preserve"> and the consequent disruption to the education and training sector. This is an update in a series of statements and follows that issued to cover the p</w:t>
      </w:r>
      <w:r>
        <w:t xml:space="preserve">eriod to 30 September 2020. This document hopefully elaborates the appropriate responses in possible forthcoming scenarios. </w:t>
      </w:r>
    </w:p>
    <w:p w14:paraId="22B1AEDF" w14:textId="77777777" w:rsidR="00E40256" w:rsidRDefault="00550561">
      <w:pPr>
        <w:ind w:left="-5" w:right="41"/>
      </w:pPr>
      <w:r>
        <w:t xml:space="preserve">It is recommended that to provide the best experience for learners, conditions during learning programmes should be as real and as </w:t>
      </w:r>
      <w:r>
        <w:t xml:space="preserve">close as possible to those likely to be experienced during their careers. </w:t>
      </w:r>
    </w:p>
    <w:p w14:paraId="158E5444" w14:textId="77777777" w:rsidR="00E40256" w:rsidRDefault="00550561">
      <w:pPr>
        <w:pStyle w:val="Heading1"/>
        <w:ind w:left="-5"/>
      </w:pPr>
      <w:r>
        <w:t xml:space="preserve">Diploma in Education and Training [DET] </w:t>
      </w:r>
    </w:p>
    <w:p w14:paraId="10437179" w14:textId="77777777" w:rsidR="00E40256" w:rsidRDefault="00550561">
      <w:pPr>
        <w:ind w:left="-5" w:right="41"/>
      </w:pPr>
      <w:r>
        <w:t>It is in ev</w:t>
      </w:r>
      <w:r>
        <w:t>eryone’s interest to maintain the</w:t>
      </w:r>
      <w:r>
        <w:t xml:space="preserve"> rigour and quality of the DET as the recognised teaching qualification for the FE sector and as</w:t>
      </w:r>
      <w:r>
        <w:t xml:space="preserve"> this, in normal times, means competence to deliver face to face teaching and training, and employers would expect such from a qualification holder, it should always be borne in mind that it is a priority to seek to maximise face to face opportunities and </w:t>
      </w:r>
      <w:r>
        <w:t>assessments, wherever possible. Therefore, in the case of the DET which is a large qualification, and opportunities for experience and assessment will extend through the year, centres should seek to delay such, insofar as possible, until face to face oppor</w:t>
      </w:r>
      <w:r>
        <w:t>tunities allow. Any deviations from the full qualification guidance should be the exception rather than the rule and every effort to be compliant should be made: these mitigations are to be applied in extremis. It should also be noted that as we are in a d</w:t>
      </w:r>
      <w:r>
        <w:t xml:space="preserve">ynamic environment: these guidelines may be subject to further review to ensure they are still appropriate. Under the current </w:t>
      </w:r>
      <w:proofErr w:type="spellStart"/>
      <w:r>
        <w:t>covid</w:t>
      </w:r>
      <w:proofErr w:type="spellEnd"/>
      <w:r>
        <w:t>-related circumstances, it is recommended that learners on two-year programmes be observed a maximum of four times in year on</w:t>
      </w:r>
      <w:r>
        <w:t xml:space="preserve">e, and that the unit </w:t>
      </w:r>
      <w:r>
        <w:t>‘Developing teaching, learning and assessment in education and training’ be delivered a</w:t>
      </w:r>
      <w:r>
        <w:t xml:space="preserve">nd assessed in year two, with knowledge units delivered at the start of the programme. </w:t>
      </w:r>
    </w:p>
    <w:p w14:paraId="0664EE5A" w14:textId="77777777" w:rsidR="00E40256" w:rsidRDefault="00550561">
      <w:pPr>
        <w:ind w:left="-5" w:right="41"/>
      </w:pPr>
      <w:r>
        <w:t>Therefore, the current position is that centres should compl</w:t>
      </w:r>
      <w:r>
        <w:t xml:space="preserve">y with the full guidance and 100 hours of teaching practice and 8 observations are required as </w:t>
      </w:r>
      <w:proofErr w:type="gramStart"/>
      <w:r>
        <w:t>previously</w:t>
      </w:r>
      <w:proofErr w:type="gramEnd"/>
      <w:r>
        <w:t xml:space="preserve"> </w:t>
      </w:r>
    </w:p>
    <w:p w14:paraId="6918996E" w14:textId="77777777" w:rsidR="00E40256" w:rsidRDefault="00550561">
      <w:pPr>
        <w:spacing w:after="197"/>
        <w:ind w:left="-5" w:right="41"/>
      </w:pPr>
      <w:r>
        <w:t xml:space="preserve">Should, however the current situation re restricted access to </w:t>
      </w:r>
      <w:proofErr w:type="gramStart"/>
      <w:r>
        <w:t>face to face</w:t>
      </w:r>
      <w:proofErr w:type="gramEnd"/>
      <w:r>
        <w:t xml:space="preserve"> teaching opportunities persist or there is a return to lockdown [local or </w:t>
      </w:r>
      <w:r>
        <w:t xml:space="preserve">otherwise] the following is permissible with the agreement of the Awarding Body: </w:t>
      </w:r>
    </w:p>
    <w:p w14:paraId="4E95353B" w14:textId="77777777" w:rsidR="00CA5D44" w:rsidRDefault="00550561">
      <w:pPr>
        <w:numPr>
          <w:ilvl w:val="0"/>
          <w:numId w:val="1"/>
        </w:numPr>
        <w:spacing w:after="27"/>
        <w:ind w:right="1999" w:hanging="360"/>
      </w:pPr>
      <w:r>
        <w:t xml:space="preserve">The requirement for 100 hours teaching practice remains, </w:t>
      </w:r>
      <w:proofErr w:type="gramStart"/>
      <w:r>
        <w:t>however</w:t>
      </w:r>
      <w:proofErr w:type="gramEnd"/>
      <w:r>
        <w:t xml:space="preserve"> </w:t>
      </w:r>
    </w:p>
    <w:p w14:paraId="6FC30DA4" w14:textId="1218A700" w:rsidR="00E40256" w:rsidRDefault="00550561" w:rsidP="00B76328">
      <w:pPr>
        <w:pStyle w:val="ListParagraph"/>
        <w:numPr>
          <w:ilvl w:val="0"/>
          <w:numId w:val="1"/>
        </w:numPr>
        <w:spacing w:after="27"/>
        <w:ind w:right="1999"/>
      </w:pPr>
      <w:r>
        <w:t xml:space="preserve">This may include one to one, up to a maximum of 15 </w:t>
      </w:r>
      <w:proofErr w:type="gramStart"/>
      <w:r>
        <w:t>hours</w:t>
      </w:r>
      <w:proofErr w:type="gramEnd"/>
      <w:r>
        <w:t xml:space="preserve">  </w:t>
      </w:r>
    </w:p>
    <w:p w14:paraId="40A2C868" w14:textId="53F3CEB7" w:rsidR="00CA5D44" w:rsidRDefault="00550561" w:rsidP="00CA5D44">
      <w:pPr>
        <w:pStyle w:val="ListParagraph"/>
        <w:numPr>
          <w:ilvl w:val="0"/>
          <w:numId w:val="1"/>
        </w:numPr>
        <w:spacing w:after="38"/>
        <w:ind w:right="41"/>
      </w:pPr>
      <w:r>
        <w:t xml:space="preserve">This may include live remote delivery, </w:t>
      </w:r>
      <w:proofErr w:type="spellStart"/>
      <w:proofErr w:type="gramStart"/>
      <w:r>
        <w:t>ie</w:t>
      </w:r>
      <w:proofErr w:type="spellEnd"/>
      <w:proofErr w:type="gramEnd"/>
      <w:r>
        <w:t xml:space="preserve"> deli</w:t>
      </w:r>
      <w:r>
        <w:t xml:space="preserve">very where the tutor and learners are simultaneously present online and engaged and there is live interaction  </w:t>
      </w:r>
    </w:p>
    <w:p w14:paraId="4191F8CC" w14:textId="58A42546" w:rsidR="000443CC" w:rsidRDefault="00CA5D44" w:rsidP="00CA5D44">
      <w:pPr>
        <w:pStyle w:val="ListParagraph"/>
        <w:numPr>
          <w:ilvl w:val="0"/>
          <w:numId w:val="1"/>
        </w:numPr>
        <w:spacing w:after="38"/>
        <w:ind w:right="41"/>
      </w:pPr>
      <w:r>
        <w:t>T</w:t>
      </w:r>
      <w:r w:rsidR="000443CC">
        <w:t>his may also now include asynchronous delivery, where the teacher prepares and delivers a session for learners to engage in at a later point providing:</w:t>
      </w:r>
    </w:p>
    <w:p w14:paraId="7FEE86FC" w14:textId="54C29C93" w:rsidR="000443CC" w:rsidRDefault="000443CC">
      <w:pPr>
        <w:spacing w:after="38"/>
        <w:ind w:left="1440" w:right="41" w:hanging="360"/>
      </w:pPr>
      <w:r>
        <w:tab/>
        <w:t xml:space="preserve">1] a full planning rationale for the session is </w:t>
      </w:r>
      <w:proofErr w:type="gramStart"/>
      <w:r>
        <w:t>provided</w:t>
      </w:r>
      <w:proofErr w:type="gramEnd"/>
    </w:p>
    <w:p w14:paraId="48FDA8BD" w14:textId="499412B0" w:rsidR="000443CC" w:rsidRDefault="000443CC">
      <w:pPr>
        <w:spacing w:after="38"/>
        <w:ind w:left="1440" w:right="41" w:hanging="360"/>
      </w:pPr>
      <w:r>
        <w:tab/>
        <w:t xml:space="preserve">2] there is robust evidence of teacher follow up </w:t>
      </w:r>
      <w:proofErr w:type="spellStart"/>
      <w:proofErr w:type="gramStart"/>
      <w:r>
        <w:t>eg</w:t>
      </w:r>
      <w:proofErr w:type="spellEnd"/>
      <w:proofErr w:type="gramEnd"/>
      <w:r>
        <w:t xml:space="preserve"> critical exchanges with learners demonstrating some assessment of learning and clarification/adaptation of presentation for particular learners.</w:t>
      </w:r>
    </w:p>
    <w:p w14:paraId="509DBB62" w14:textId="38BD9837" w:rsidR="000443CC" w:rsidRDefault="000443CC" w:rsidP="00B76328">
      <w:pPr>
        <w:spacing w:after="38"/>
        <w:ind w:left="1090" w:right="41" w:firstLine="0"/>
      </w:pPr>
      <w:r>
        <w:t xml:space="preserve">Such </w:t>
      </w:r>
      <w:r w:rsidR="00B76328">
        <w:t xml:space="preserve">asynchronous </w:t>
      </w:r>
      <w:r>
        <w:t xml:space="preserve">delivery may be counted to a maximum of 30 hours of teaching </w:t>
      </w:r>
      <w:proofErr w:type="gramStart"/>
      <w:r>
        <w:t>practice</w:t>
      </w:r>
      <w:proofErr w:type="gramEnd"/>
    </w:p>
    <w:p w14:paraId="1D53B018" w14:textId="77777777" w:rsidR="00CA5D44" w:rsidRDefault="00CA5D44" w:rsidP="00B76328">
      <w:pPr>
        <w:spacing w:after="38"/>
        <w:ind w:left="360" w:right="41" w:hanging="360"/>
      </w:pPr>
    </w:p>
    <w:p w14:paraId="438442AC" w14:textId="7611CD65" w:rsidR="00CA5D44" w:rsidRDefault="00CA5D44" w:rsidP="00B76328">
      <w:pPr>
        <w:pStyle w:val="ListParagraph"/>
        <w:numPr>
          <w:ilvl w:val="0"/>
          <w:numId w:val="5"/>
        </w:numPr>
        <w:spacing w:after="38"/>
        <w:ind w:right="41"/>
      </w:pPr>
      <w:r>
        <w:t>The requirement for 8 observations remains, however:</w:t>
      </w:r>
    </w:p>
    <w:p w14:paraId="24018BB6" w14:textId="6FF2602F" w:rsidR="00CA5D44" w:rsidRDefault="00CA5D44" w:rsidP="00B76328">
      <w:pPr>
        <w:pStyle w:val="ListParagraph"/>
        <w:numPr>
          <w:ilvl w:val="3"/>
          <w:numId w:val="5"/>
        </w:numPr>
        <w:spacing w:after="38"/>
        <w:ind w:right="41"/>
      </w:pPr>
      <w:r>
        <w:t>This can include observations of one to one (to a maximum of two)</w:t>
      </w:r>
    </w:p>
    <w:p w14:paraId="4060E8FE" w14:textId="4E1E69D4" w:rsidR="00CA5D44" w:rsidRDefault="00CA5D44" w:rsidP="00B76328">
      <w:pPr>
        <w:pStyle w:val="ListParagraph"/>
        <w:numPr>
          <w:ilvl w:val="3"/>
          <w:numId w:val="5"/>
        </w:numPr>
        <w:spacing w:after="38"/>
        <w:ind w:right="41"/>
      </w:pPr>
      <w:r>
        <w:t xml:space="preserve">This can include observations of live remote </w:t>
      </w:r>
      <w:proofErr w:type="gramStart"/>
      <w:r>
        <w:t>delivery</w:t>
      </w:r>
      <w:proofErr w:type="gramEnd"/>
    </w:p>
    <w:p w14:paraId="7FCEBA2F" w14:textId="3C4C5C27" w:rsidR="00CA5D44" w:rsidRDefault="00CA5D44" w:rsidP="00B76328">
      <w:pPr>
        <w:pStyle w:val="ListParagraph"/>
        <w:numPr>
          <w:ilvl w:val="3"/>
          <w:numId w:val="5"/>
        </w:numPr>
        <w:spacing w:after="38"/>
        <w:ind w:right="41"/>
      </w:pPr>
      <w:r>
        <w:t xml:space="preserve">Where necessary, one observation of an asynchronous sessions may be counted providing all evidence as above is [present and discussed as part of the </w:t>
      </w:r>
      <w:proofErr w:type="gramStart"/>
      <w:r>
        <w:t>review</w:t>
      </w:r>
      <w:proofErr w:type="gramEnd"/>
    </w:p>
    <w:p w14:paraId="350BAEB3" w14:textId="77777777" w:rsidR="00CA5D44" w:rsidRDefault="00CA5D44" w:rsidP="00CA5D44">
      <w:pPr>
        <w:spacing w:after="38"/>
        <w:ind w:right="41"/>
      </w:pPr>
    </w:p>
    <w:p w14:paraId="3B7C17AF" w14:textId="7E0DF4FF" w:rsidR="00E40256" w:rsidRDefault="00E40256">
      <w:pPr>
        <w:spacing w:after="0" w:line="259" w:lineRule="auto"/>
        <w:ind w:left="0" w:firstLine="0"/>
      </w:pPr>
    </w:p>
    <w:p w14:paraId="22A5784E" w14:textId="77777777" w:rsidR="00E40256" w:rsidRDefault="00550561">
      <w:pPr>
        <w:ind w:left="-5" w:right="41"/>
      </w:pPr>
      <w:r>
        <w:t>The above are deviations from normal, established assessment practices, and therefore centres must obtain the agreement of th</w:t>
      </w:r>
      <w:r>
        <w:t xml:space="preserve">eir Awarding Body, </w:t>
      </w:r>
      <w:proofErr w:type="gramStart"/>
      <w:r>
        <w:t>stating clearly</w:t>
      </w:r>
      <w:proofErr w:type="gramEnd"/>
      <w:r>
        <w:t xml:space="preserve"> their justifications, before proceeding with them. </w:t>
      </w:r>
    </w:p>
    <w:p w14:paraId="4105191C" w14:textId="77777777" w:rsidR="00E40256" w:rsidRDefault="00550561">
      <w:pPr>
        <w:spacing w:after="158" w:line="259" w:lineRule="auto"/>
        <w:ind w:left="0" w:firstLine="0"/>
      </w:pPr>
      <w:r>
        <w:t xml:space="preserve"> </w:t>
      </w:r>
    </w:p>
    <w:p w14:paraId="7BA119AA" w14:textId="77777777" w:rsidR="00E40256" w:rsidRDefault="00550561">
      <w:pPr>
        <w:ind w:left="-5" w:right="41"/>
      </w:pPr>
      <w:r>
        <w:t xml:space="preserve">These conditions apply to DET courses throughout the duration of the 2020/21 academic year ending by </w:t>
      </w:r>
      <w:proofErr w:type="gramStart"/>
      <w:r>
        <w:t>31 July 2021, and</w:t>
      </w:r>
      <w:proofErr w:type="gramEnd"/>
      <w:r>
        <w:t xml:space="preserve"> may be subject to further review during this per</w:t>
      </w:r>
      <w:r>
        <w:t xml:space="preserve">iod. </w:t>
      </w:r>
    </w:p>
    <w:p w14:paraId="55FF25F1" w14:textId="61B34F9B" w:rsidR="00E40256" w:rsidRDefault="00E40256">
      <w:pPr>
        <w:spacing w:after="158" w:line="259" w:lineRule="auto"/>
        <w:ind w:left="0" w:firstLine="0"/>
      </w:pPr>
    </w:p>
    <w:p w14:paraId="385F84DD" w14:textId="77777777" w:rsidR="00E40256" w:rsidRDefault="00550561">
      <w:pPr>
        <w:pStyle w:val="Heading1"/>
        <w:ind w:left="-5"/>
      </w:pPr>
      <w:r>
        <w:t xml:space="preserve">Certificate and Award in Education and Training [CET &amp; AET] </w:t>
      </w:r>
    </w:p>
    <w:p w14:paraId="4378E4DB" w14:textId="77777777" w:rsidR="00E40256" w:rsidRDefault="00550561">
      <w:pPr>
        <w:ind w:left="-5" w:right="41"/>
      </w:pPr>
      <w:r>
        <w:t xml:space="preserve">This guidance is broadly </w:t>
      </w:r>
      <w:proofErr w:type="gramStart"/>
      <w:r>
        <w:t>similar to</w:t>
      </w:r>
      <w:proofErr w:type="gramEnd"/>
      <w:r>
        <w:t xml:space="preserve"> that above in that there should be an attempt to provide face </w:t>
      </w:r>
      <w:r>
        <w:t xml:space="preserve">to face experience on these courses and that exceptions to the full qualification guidance are only allowed in extremis and with Awarding Body permission. </w:t>
      </w:r>
    </w:p>
    <w:p w14:paraId="0FF085D8" w14:textId="6607B95C" w:rsidR="00E40256" w:rsidRDefault="00550561">
      <w:pPr>
        <w:ind w:left="-5" w:right="41"/>
      </w:pPr>
      <w:r>
        <w:t xml:space="preserve">Should the current situation re restricted access to </w:t>
      </w:r>
      <w:proofErr w:type="gramStart"/>
      <w:r>
        <w:t>face to face</w:t>
      </w:r>
      <w:proofErr w:type="gramEnd"/>
      <w:r>
        <w:t xml:space="preserve"> teaching opportunities persist or </w:t>
      </w:r>
      <w:r>
        <w:t xml:space="preserve">there is a return to lockdown [local or otherwise] the following is permissible with the agreement of the Awarding Body: </w:t>
      </w:r>
    </w:p>
    <w:p w14:paraId="515EFD20" w14:textId="77777777" w:rsidR="00B76328" w:rsidRDefault="00B76328">
      <w:pPr>
        <w:ind w:left="-5" w:right="41"/>
      </w:pPr>
    </w:p>
    <w:p w14:paraId="194B729B" w14:textId="6D039492" w:rsidR="00E40256" w:rsidRDefault="00550561">
      <w:pPr>
        <w:spacing w:after="204" w:line="259" w:lineRule="auto"/>
        <w:ind w:left="-5"/>
        <w:rPr>
          <w:b/>
        </w:rPr>
      </w:pPr>
      <w:r>
        <w:rPr>
          <w:b/>
        </w:rPr>
        <w:t xml:space="preserve">For the CET: </w:t>
      </w:r>
    </w:p>
    <w:p w14:paraId="47C300BE" w14:textId="3B2D6C65" w:rsidR="00B76328" w:rsidRDefault="00B76328" w:rsidP="00B76328">
      <w:pPr>
        <w:numPr>
          <w:ilvl w:val="0"/>
          <w:numId w:val="1"/>
        </w:numPr>
        <w:spacing w:after="27"/>
        <w:ind w:right="1999" w:hanging="360"/>
      </w:pPr>
      <w:r>
        <w:t xml:space="preserve">The requirement for </w:t>
      </w:r>
      <w:r>
        <w:t>3</w:t>
      </w:r>
      <w:r>
        <w:t xml:space="preserve">0 hours teaching practice remains, </w:t>
      </w:r>
      <w:proofErr w:type="gramStart"/>
      <w:r>
        <w:t>however</w:t>
      </w:r>
      <w:proofErr w:type="gramEnd"/>
      <w:r>
        <w:t xml:space="preserve"> </w:t>
      </w:r>
    </w:p>
    <w:p w14:paraId="6A079F00" w14:textId="77777777" w:rsidR="00B76328" w:rsidRDefault="00B76328" w:rsidP="00B76328">
      <w:pPr>
        <w:pStyle w:val="ListParagraph"/>
        <w:numPr>
          <w:ilvl w:val="0"/>
          <w:numId w:val="1"/>
        </w:numPr>
        <w:spacing w:after="38"/>
        <w:ind w:right="41"/>
      </w:pPr>
      <w:r>
        <w:t xml:space="preserve">This may include live remote delivery, </w:t>
      </w:r>
      <w:proofErr w:type="spellStart"/>
      <w:proofErr w:type="gramStart"/>
      <w:r>
        <w:t>ie</w:t>
      </w:r>
      <w:proofErr w:type="spellEnd"/>
      <w:proofErr w:type="gramEnd"/>
      <w:r>
        <w:t xml:space="preserve"> delivery where the tutor and learners are simultaneously present online and engaged and there is live interaction  </w:t>
      </w:r>
    </w:p>
    <w:p w14:paraId="416BA3A8" w14:textId="2C36CC51" w:rsidR="00B76328" w:rsidRDefault="00B76328" w:rsidP="00B76328">
      <w:pPr>
        <w:pStyle w:val="ListParagraph"/>
        <w:numPr>
          <w:ilvl w:val="0"/>
          <w:numId w:val="1"/>
        </w:numPr>
        <w:spacing w:after="38"/>
        <w:ind w:right="41"/>
      </w:pPr>
      <w:r>
        <w:t>This may also now include asynchronous delivery, where the teacher prepares and delivers a session for learners to engage in at a later point providing:</w:t>
      </w:r>
    </w:p>
    <w:p w14:paraId="59724A02" w14:textId="77777777" w:rsidR="00B76328" w:rsidRDefault="00B76328" w:rsidP="00B76328">
      <w:pPr>
        <w:spacing w:after="38"/>
        <w:ind w:left="1440" w:right="41" w:hanging="360"/>
      </w:pPr>
      <w:r>
        <w:tab/>
        <w:t xml:space="preserve">1] a full planning rationale for the session is </w:t>
      </w:r>
      <w:proofErr w:type="gramStart"/>
      <w:r>
        <w:t>provided</w:t>
      </w:r>
      <w:proofErr w:type="gramEnd"/>
    </w:p>
    <w:p w14:paraId="108E10BC" w14:textId="77777777" w:rsidR="00B76328" w:rsidRDefault="00B76328" w:rsidP="00B76328">
      <w:pPr>
        <w:spacing w:after="38"/>
        <w:ind w:left="1440" w:right="41" w:hanging="360"/>
      </w:pPr>
      <w:r>
        <w:tab/>
        <w:t xml:space="preserve">2] there is robust evidence of teacher follow up </w:t>
      </w:r>
      <w:proofErr w:type="spellStart"/>
      <w:proofErr w:type="gramStart"/>
      <w:r>
        <w:t>eg</w:t>
      </w:r>
      <w:proofErr w:type="spellEnd"/>
      <w:proofErr w:type="gramEnd"/>
      <w:r>
        <w:t xml:space="preserve"> critical exchanges with learners demonstrating some assessment of learning and clarification/adaptation of presentation for particular learners.</w:t>
      </w:r>
    </w:p>
    <w:p w14:paraId="3524C641" w14:textId="7DDEA4CA" w:rsidR="00B76328" w:rsidRDefault="00B76328" w:rsidP="00B76328">
      <w:pPr>
        <w:spacing w:after="38"/>
        <w:ind w:left="1090" w:right="41" w:hanging="360"/>
      </w:pPr>
      <w:r>
        <w:t xml:space="preserve">Such delivery may be counted to a maximum of </w:t>
      </w:r>
      <w:r>
        <w:t>1</w:t>
      </w:r>
      <w:r>
        <w:t xml:space="preserve">0 hours of teaching </w:t>
      </w:r>
      <w:proofErr w:type="gramStart"/>
      <w:r>
        <w:t>practice</w:t>
      </w:r>
      <w:proofErr w:type="gramEnd"/>
    </w:p>
    <w:p w14:paraId="5ED669CD" w14:textId="77777777" w:rsidR="00B76328" w:rsidRDefault="00B76328" w:rsidP="00B76328">
      <w:pPr>
        <w:spacing w:after="38"/>
        <w:ind w:left="360" w:right="41" w:hanging="360"/>
      </w:pPr>
    </w:p>
    <w:p w14:paraId="62A5D488" w14:textId="75695C52" w:rsidR="00B76328" w:rsidRDefault="00B76328" w:rsidP="00B76328">
      <w:pPr>
        <w:pStyle w:val="ListParagraph"/>
        <w:numPr>
          <w:ilvl w:val="0"/>
          <w:numId w:val="5"/>
        </w:numPr>
        <w:spacing w:after="38"/>
        <w:ind w:right="41"/>
      </w:pPr>
      <w:r>
        <w:t xml:space="preserve">The requirement for </w:t>
      </w:r>
      <w:r>
        <w:t>3</w:t>
      </w:r>
      <w:r>
        <w:t xml:space="preserve"> observations remains, however:</w:t>
      </w:r>
    </w:p>
    <w:p w14:paraId="763CDC0B" w14:textId="77777777" w:rsidR="00B76328" w:rsidRDefault="00B76328" w:rsidP="00B76328">
      <w:pPr>
        <w:pStyle w:val="ListParagraph"/>
        <w:numPr>
          <w:ilvl w:val="3"/>
          <w:numId w:val="5"/>
        </w:numPr>
        <w:spacing w:after="38"/>
        <w:ind w:right="41"/>
      </w:pPr>
      <w:r>
        <w:t xml:space="preserve">This can include observations of live remote </w:t>
      </w:r>
      <w:proofErr w:type="gramStart"/>
      <w:r>
        <w:t>delivery</w:t>
      </w:r>
      <w:proofErr w:type="gramEnd"/>
    </w:p>
    <w:p w14:paraId="17D27F3F" w14:textId="77777777" w:rsidR="00B76328" w:rsidRDefault="00B76328" w:rsidP="00B76328">
      <w:pPr>
        <w:pStyle w:val="ListParagraph"/>
        <w:numPr>
          <w:ilvl w:val="3"/>
          <w:numId w:val="5"/>
        </w:numPr>
        <w:spacing w:after="38"/>
        <w:ind w:right="41"/>
      </w:pPr>
      <w:r>
        <w:t xml:space="preserve">Where necessary, one observation of an asynchronous sessions may be counted providing all evidence as above is [present and discussed as part of the </w:t>
      </w:r>
      <w:proofErr w:type="gramStart"/>
      <w:r>
        <w:t>review</w:t>
      </w:r>
      <w:proofErr w:type="gramEnd"/>
    </w:p>
    <w:p w14:paraId="574652AF" w14:textId="77777777" w:rsidR="00B76328" w:rsidRDefault="00B76328">
      <w:pPr>
        <w:pStyle w:val="Heading1"/>
        <w:spacing w:after="206"/>
        <w:ind w:left="-5"/>
      </w:pPr>
    </w:p>
    <w:p w14:paraId="50B6B4DB" w14:textId="44219462" w:rsidR="00E40256" w:rsidRDefault="00550561">
      <w:pPr>
        <w:pStyle w:val="Heading1"/>
        <w:spacing w:after="206"/>
        <w:ind w:left="-5"/>
      </w:pPr>
      <w:r>
        <w:t xml:space="preserve">For the AET </w:t>
      </w:r>
    </w:p>
    <w:p w14:paraId="0C450835" w14:textId="77777777" w:rsidR="00E40256" w:rsidRDefault="00550561">
      <w:pPr>
        <w:tabs>
          <w:tab w:val="center" w:pos="411"/>
          <w:tab w:val="center" w:pos="3559"/>
        </w:tabs>
        <w:spacing w:after="125"/>
        <w:ind w:left="0" w:firstLine="0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micro teach may be a live remote session with AO approval </w:t>
      </w:r>
    </w:p>
    <w:p w14:paraId="4F589A24" w14:textId="77777777" w:rsidR="00E40256" w:rsidRDefault="00550561">
      <w:pPr>
        <w:ind w:left="-5" w:right="41"/>
      </w:pPr>
      <w:r>
        <w:t xml:space="preserve">The above are deviations from normal, established assessment practices for the CET and AET, and therefore centres must obtain the agreement of their awarding body beforehand. </w:t>
      </w:r>
    </w:p>
    <w:p w14:paraId="151E3C76" w14:textId="77777777" w:rsidR="00E40256" w:rsidRDefault="00550561">
      <w:pPr>
        <w:ind w:left="-5" w:right="41"/>
      </w:pPr>
      <w:r>
        <w:t>These conditions apply to CET or AET courses throughout the duration of the 2020</w:t>
      </w:r>
      <w:r>
        <w:t xml:space="preserve">/21 academic year ending by </w:t>
      </w:r>
      <w:proofErr w:type="gramStart"/>
      <w:r>
        <w:t>31 July 2021, and</w:t>
      </w:r>
      <w:proofErr w:type="gramEnd"/>
      <w:r>
        <w:t xml:space="preserve"> may be subject to further review during this period. </w:t>
      </w:r>
    </w:p>
    <w:p w14:paraId="44022520" w14:textId="77777777" w:rsidR="00E40256" w:rsidRDefault="00550561">
      <w:pPr>
        <w:spacing w:after="0" w:line="259" w:lineRule="auto"/>
        <w:ind w:left="0" w:firstLine="0"/>
      </w:pPr>
      <w:r>
        <w:t xml:space="preserve"> </w:t>
      </w:r>
    </w:p>
    <w:sectPr w:rsidR="00E40256">
      <w:headerReference w:type="default" r:id="rId10"/>
      <w:pgSz w:w="11906" w:h="16838"/>
      <w:pgMar w:top="708" w:right="1388" w:bottom="19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51213" w14:textId="77777777" w:rsidR="000443CC" w:rsidRDefault="000443CC" w:rsidP="000443CC">
      <w:pPr>
        <w:spacing w:after="0" w:line="240" w:lineRule="auto"/>
      </w:pPr>
      <w:r>
        <w:separator/>
      </w:r>
    </w:p>
  </w:endnote>
  <w:endnote w:type="continuationSeparator" w:id="0">
    <w:p w14:paraId="433A200C" w14:textId="77777777" w:rsidR="000443CC" w:rsidRDefault="000443CC" w:rsidP="0004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D6DC" w14:textId="77777777" w:rsidR="000443CC" w:rsidRDefault="000443CC" w:rsidP="000443CC">
      <w:pPr>
        <w:spacing w:after="0" w:line="240" w:lineRule="auto"/>
      </w:pPr>
      <w:r>
        <w:separator/>
      </w:r>
    </w:p>
  </w:footnote>
  <w:footnote w:type="continuationSeparator" w:id="0">
    <w:p w14:paraId="23E88AD3" w14:textId="77777777" w:rsidR="000443CC" w:rsidRDefault="000443CC" w:rsidP="0004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A459" w14:textId="15A4CD0D" w:rsidR="000443CC" w:rsidRDefault="000443CC">
    <w:pPr>
      <w:pStyle w:val="Header"/>
    </w:pPr>
    <w:r>
      <w:tab/>
    </w:r>
    <w:r>
      <w:tab/>
    </w:r>
    <w:r>
      <w:tab/>
    </w:r>
    <w:r>
      <w:rPr>
        <w:noProof/>
      </w:rPr>
      <w:drawing>
        <wp:inline distT="0" distB="0" distL="0" distR="0" wp14:anchorId="6E5B19A7" wp14:editId="37F402C5">
          <wp:extent cx="1657350" cy="876300"/>
          <wp:effectExtent l="0" t="0" r="0" b="0"/>
          <wp:docPr id="199" name="Picture 1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7AC6E0" w14:textId="77777777" w:rsidR="000443CC" w:rsidRDefault="00044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67F50"/>
    <w:multiLevelType w:val="hybridMultilevel"/>
    <w:tmpl w:val="C5B8C9D8"/>
    <w:lvl w:ilvl="0" w:tplc="F7E4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214F"/>
    <w:multiLevelType w:val="hybridMultilevel"/>
    <w:tmpl w:val="2570B266"/>
    <w:lvl w:ilvl="0" w:tplc="A7B2DE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809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895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8DC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3891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EAD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E41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D9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84C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173BDD"/>
    <w:multiLevelType w:val="hybridMultilevel"/>
    <w:tmpl w:val="9FB46586"/>
    <w:lvl w:ilvl="0" w:tplc="392A5D68">
      <w:start w:val="1"/>
      <w:numFmt w:val="bullet"/>
      <w:lvlText w:val="•"/>
      <w:lvlJc w:val="left"/>
      <w:pPr>
        <w:ind w:left="1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</w:abstractNum>
  <w:abstractNum w:abstractNumId="3" w15:restartNumberingAfterBreak="0">
    <w:nsid w:val="5BBE5CB1"/>
    <w:multiLevelType w:val="hybridMultilevel"/>
    <w:tmpl w:val="7878F90E"/>
    <w:lvl w:ilvl="0" w:tplc="08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D5B2D"/>
    <w:multiLevelType w:val="hybridMultilevel"/>
    <w:tmpl w:val="31A8623C"/>
    <w:lvl w:ilvl="0" w:tplc="392A5D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4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660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94F0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0D7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2DE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8D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638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5004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56"/>
    <w:rsid w:val="000443CC"/>
    <w:rsid w:val="00121371"/>
    <w:rsid w:val="00550561"/>
    <w:rsid w:val="00B76328"/>
    <w:rsid w:val="00CA5D44"/>
    <w:rsid w:val="00E40256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BBD8"/>
  <w15:docId w15:val="{C12D2D61-73C0-415C-B60B-B56F543D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044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C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4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C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A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03F1415A1F4D8D964AAB6B4DFD1A" ma:contentTypeVersion="11" ma:contentTypeDescription="Create a new document." ma:contentTypeScope="" ma:versionID="24d5df1c03727594bd4352ab32b3a5ce">
  <xsd:schema xmlns:xsd="http://www.w3.org/2001/XMLSchema" xmlns:xs="http://www.w3.org/2001/XMLSchema" xmlns:p="http://schemas.microsoft.com/office/2006/metadata/properties" xmlns:ns2="d6fe15a6-5bb5-4570-94fd-e84c306b070e" xmlns:ns3="bc855610-ff53-4d4c-8332-f450eca170b0" targetNamespace="http://schemas.microsoft.com/office/2006/metadata/properties" ma:root="true" ma:fieldsID="f7ca46975b564d93fadec3e74a79822a" ns2:_="" ns3:_="">
    <xsd:import namespace="d6fe15a6-5bb5-4570-94fd-e84c306b070e"/>
    <xsd:import namespace="bc855610-ff53-4d4c-8332-f450eca17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15a6-5bb5-4570-94fd-e84c306b0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55610-ff53-4d4c-8332-f450eca17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6CE3E-6457-4B1E-9978-D878F3AA2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e15a6-5bb5-4570-94fd-e84c306b070e"/>
    <ds:schemaRef ds:uri="bc855610-ff53-4d4c-8332-f450eca17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25AFB-A4CC-4C97-842A-F34900F1B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C1599-B39C-4725-8612-49BE28B1BC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fe15a6-5bb5-4570-94fd-e84c306b070e"/>
    <ds:schemaRef ds:uri="bc855610-ff53-4d4c-8332-f450eca170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Pilott</dc:creator>
  <cp:keywords/>
  <cp:lastModifiedBy>Howard Pilott</cp:lastModifiedBy>
  <cp:revision>2</cp:revision>
  <dcterms:created xsi:type="dcterms:W3CDTF">2021-01-29T16:40:00Z</dcterms:created>
  <dcterms:modified xsi:type="dcterms:W3CDTF">2021-01-29T16:40:00Z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0x010100084203F1415A1F4D8D964AAB6B4DFD1A</vt:lpwstr>
  </property>
</Properties>
</file>