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2970" w14:textId="77777777" w:rsidR="00530C19" w:rsidRPr="0076647C" w:rsidRDefault="00530C19" w:rsidP="00530C19">
      <w:pPr>
        <w:rPr>
          <w:b/>
          <w:bCs/>
          <w:sz w:val="48"/>
          <w:szCs w:val="48"/>
        </w:rPr>
      </w:pPr>
      <w:r w:rsidRPr="00EB4A32">
        <w:rPr>
          <w:noProof/>
          <w:sz w:val="32"/>
          <w:lang w:eastAsia="en-GB"/>
        </w:rPr>
        <w:drawing>
          <wp:anchor distT="0" distB="0" distL="114300" distR="114300" simplePos="0" relativeHeight="251659264" behindDoc="0" locked="0" layoutInCell="1" allowOverlap="1" wp14:anchorId="29E95DDA" wp14:editId="23B0CCD2">
            <wp:simplePos x="0" y="0"/>
            <wp:positionH relativeFrom="margin">
              <wp:posOffset>4585970</wp:posOffset>
            </wp:positionH>
            <wp:positionV relativeFrom="margin">
              <wp:posOffset>-350520</wp:posOffset>
            </wp:positionV>
            <wp:extent cx="148971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71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7E0BA496">
        <w:rPr>
          <w:b/>
          <w:bCs/>
          <w:sz w:val="48"/>
          <w:szCs w:val="48"/>
        </w:rPr>
        <w:t>All Party Parliamentary Group for the Teaching Profession</w:t>
      </w:r>
    </w:p>
    <w:p w14:paraId="16EFA102" w14:textId="77777777" w:rsidR="00530C19" w:rsidRPr="00EB4A32" w:rsidRDefault="00530C19" w:rsidP="00530C19">
      <w:pPr>
        <w:rPr>
          <w:b/>
          <w:bCs/>
          <w:sz w:val="32"/>
          <w:lang w:val="en-US"/>
        </w:rPr>
      </w:pPr>
    </w:p>
    <w:p w14:paraId="02007A36" w14:textId="77777777" w:rsidR="00530C19" w:rsidRDefault="00530C19" w:rsidP="00530C19"/>
    <w:p w14:paraId="675D0ABC" w14:textId="77777777" w:rsidR="00530C19" w:rsidRDefault="00530C19" w:rsidP="00530C19"/>
    <w:p w14:paraId="7771B313" w14:textId="77777777" w:rsidR="00530C19" w:rsidRDefault="00530C19" w:rsidP="00530C19"/>
    <w:p w14:paraId="5FEFDC82" w14:textId="44B7A83F" w:rsidR="00530C19" w:rsidRDefault="00530C19" w:rsidP="00530C19">
      <w:pPr>
        <w:jc w:val="center"/>
        <w:rPr>
          <w:b/>
          <w:sz w:val="36"/>
        </w:rPr>
      </w:pPr>
      <w:r w:rsidRPr="00530C19">
        <w:rPr>
          <w:b/>
          <w:sz w:val="36"/>
        </w:rPr>
        <w:t>SIG Enquiry into Initial Teacher Education</w:t>
      </w:r>
    </w:p>
    <w:p w14:paraId="54BE562C" w14:textId="7C8C9932" w:rsidR="00366992" w:rsidRPr="00366992" w:rsidRDefault="00366992" w:rsidP="00530C19">
      <w:pPr>
        <w:jc w:val="center"/>
        <w:rPr>
          <w:b/>
          <w:sz w:val="28"/>
          <w:szCs w:val="28"/>
        </w:rPr>
      </w:pPr>
      <w:r w:rsidRPr="00366992">
        <w:rPr>
          <w:b/>
          <w:sz w:val="28"/>
          <w:szCs w:val="28"/>
        </w:rPr>
        <w:t>Responses by 2</w:t>
      </w:r>
      <w:r w:rsidRPr="00366992">
        <w:rPr>
          <w:b/>
          <w:sz w:val="28"/>
          <w:szCs w:val="28"/>
          <w:vertAlign w:val="superscript"/>
        </w:rPr>
        <w:t>nd</w:t>
      </w:r>
      <w:r w:rsidRPr="00366992">
        <w:rPr>
          <w:b/>
          <w:sz w:val="28"/>
          <w:szCs w:val="28"/>
        </w:rPr>
        <w:t xml:space="preserve"> April 2021</w:t>
      </w:r>
    </w:p>
    <w:p w14:paraId="4F937631" w14:textId="77777777" w:rsidR="00282B50" w:rsidRPr="00530C19" w:rsidRDefault="00282B50" w:rsidP="00366992">
      <w:pPr>
        <w:rPr>
          <w:b/>
          <w:sz w:val="36"/>
        </w:rPr>
      </w:pPr>
    </w:p>
    <w:p w14:paraId="5FAE813B" w14:textId="77777777" w:rsidR="00A2693B" w:rsidRPr="00366992" w:rsidRDefault="00A2693B" w:rsidP="00BF1365">
      <w:pPr>
        <w:jc w:val="both"/>
        <w:rPr>
          <w:b/>
          <w:bCs/>
        </w:rPr>
      </w:pPr>
      <w:r w:rsidRPr="00366992">
        <w:rPr>
          <w:b/>
          <w:bCs/>
        </w:rPr>
        <w:t>Introduction</w:t>
      </w:r>
    </w:p>
    <w:p w14:paraId="44A08B6D" w14:textId="50F7F202" w:rsidR="00A2693B" w:rsidRDefault="00A2693B" w:rsidP="00BF1365">
      <w:pPr>
        <w:jc w:val="both"/>
      </w:pPr>
      <w:r>
        <w:t>This call for evidence invites views on the provision of ITE in England, with particular regard to its strengths and areas for further development.</w:t>
      </w:r>
    </w:p>
    <w:p w14:paraId="530C1656" w14:textId="77777777" w:rsidR="00A2693B" w:rsidRDefault="00A2693B" w:rsidP="00BF1365">
      <w:pPr>
        <w:jc w:val="both"/>
      </w:pPr>
    </w:p>
    <w:p w14:paraId="072C5F54" w14:textId="64B9A7D8" w:rsidR="00A2693B" w:rsidRDefault="00A2693B" w:rsidP="00BF1365">
      <w:pPr>
        <w:jc w:val="both"/>
      </w:pPr>
      <w:r>
        <w:t>Written evidence, of no more than 2,000 words</w:t>
      </w:r>
      <w:r w:rsidR="00366992">
        <w:t xml:space="preserve"> in total</w:t>
      </w:r>
      <w:r>
        <w:t xml:space="preserve"> (plus annexes), should be submitted to: </w:t>
      </w:r>
      <w:proofErr w:type="spellStart"/>
      <w:r>
        <w:t>kate@waterman.education</w:t>
      </w:r>
      <w:proofErr w:type="spellEnd"/>
      <w:r>
        <w:t xml:space="preserve"> by 2</w:t>
      </w:r>
      <w:r w:rsidRPr="00A2693B">
        <w:rPr>
          <w:vertAlign w:val="superscript"/>
        </w:rPr>
        <w:t>nd</w:t>
      </w:r>
      <w:r>
        <w:t xml:space="preserve"> April 2021.  </w:t>
      </w:r>
    </w:p>
    <w:p w14:paraId="7BC44054" w14:textId="77777777" w:rsidR="00A2693B" w:rsidRDefault="00A2693B" w:rsidP="00BF1365">
      <w:pPr>
        <w:jc w:val="both"/>
      </w:pPr>
    </w:p>
    <w:p w14:paraId="66B437FD" w14:textId="0FB9B8CF" w:rsidR="00A2693B" w:rsidRDefault="00A2693B" w:rsidP="00BF1365">
      <w:pPr>
        <w:jc w:val="both"/>
      </w:pPr>
      <w:r>
        <w:t xml:space="preserve">An oral evidence session will be held, by invitation, later in April. </w:t>
      </w:r>
      <w:r w:rsidR="00BF1365">
        <w:t xml:space="preserve"> </w:t>
      </w:r>
      <w:r>
        <w:t xml:space="preserve">A formal report will be published before the end of May 2021. </w:t>
      </w:r>
      <w:r w:rsidR="00BF1365">
        <w:t xml:space="preserve"> </w:t>
      </w:r>
      <w:r>
        <w:t>Written evidence may be published as an Annex to the report</w:t>
      </w:r>
      <w:r w:rsidR="00BF1365">
        <w:t>,</w:t>
      </w:r>
      <w:r>
        <w:t xml:space="preserve"> unless requested otherwise by the authors.  </w:t>
      </w:r>
    </w:p>
    <w:p w14:paraId="13D46AA4" w14:textId="77777777" w:rsidR="00A2693B" w:rsidRDefault="00A2693B" w:rsidP="00BF1365">
      <w:pPr>
        <w:jc w:val="both"/>
      </w:pPr>
    </w:p>
    <w:p w14:paraId="2AD4CB44" w14:textId="188BE0E2" w:rsidR="00A2693B" w:rsidRDefault="00A2693B" w:rsidP="00BF1365">
      <w:pPr>
        <w:jc w:val="both"/>
      </w:pPr>
      <w:r>
        <w:t>The review is being conducted under the auspices of the All</w:t>
      </w:r>
      <w:r w:rsidR="00366992">
        <w:t>-</w:t>
      </w:r>
      <w:r>
        <w:t xml:space="preserve">Party Parliamentary Group </w:t>
      </w:r>
      <w:r w:rsidR="00366992">
        <w:t>for</w:t>
      </w:r>
      <w:r>
        <w:t xml:space="preserve"> the Teaching Profession and is being chaired by Lord Knight of Weymouth. </w:t>
      </w:r>
    </w:p>
    <w:p w14:paraId="7D51CB8B" w14:textId="77777777" w:rsidR="00A2693B" w:rsidRDefault="00A2693B" w:rsidP="00BF1365">
      <w:pPr>
        <w:jc w:val="both"/>
        <w:rPr>
          <w:u w:val="single"/>
        </w:rPr>
      </w:pPr>
    </w:p>
    <w:p w14:paraId="4086A7D3" w14:textId="570BDE08" w:rsidR="00A2693B" w:rsidRPr="00366992" w:rsidRDefault="00A2693B" w:rsidP="00BF1365">
      <w:pPr>
        <w:jc w:val="both"/>
        <w:rPr>
          <w:b/>
          <w:bCs/>
        </w:rPr>
      </w:pPr>
      <w:r w:rsidRPr="00366992">
        <w:rPr>
          <w:b/>
          <w:bCs/>
        </w:rPr>
        <w:t>Background</w:t>
      </w:r>
    </w:p>
    <w:p w14:paraId="08E1255E" w14:textId="62F3A7AD" w:rsidR="00A2693B" w:rsidRDefault="00A2693B" w:rsidP="00BF1365">
      <w:pPr>
        <w:jc w:val="both"/>
      </w:pPr>
      <w:proofErr w:type="spellStart"/>
      <w:r>
        <w:t>OfSTED</w:t>
      </w:r>
      <w:proofErr w:type="spellEnd"/>
      <w:r>
        <w:t xml:space="preserve"> currently rate all ITE in England as being either good or outstanding and has reached similar conclusions under a succession of different inspection frameworks. </w:t>
      </w:r>
      <w:r w:rsidR="00BF1365">
        <w:t xml:space="preserve"> </w:t>
      </w:r>
      <w:r>
        <w:t>However, the context has changed since the last inspections were carried out, notably in regards</w:t>
      </w:r>
      <w:r w:rsidR="00366992">
        <w:t xml:space="preserve"> to</w:t>
      </w:r>
      <w:r>
        <w:t xml:space="preserve">: the impact of </w:t>
      </w:r>
      <w:proofErr w:type="spellStart"/>
      <w:r>
        <w:t>Covid</w:t>
      </w:r>
      <w:proofErr w:type="spellEnd"/>
      <w:r>
        <w:t xml:space="preserve"> 19; policy changes</w:t>
      </w:r>
      <w:r w:rsidR="00366992">
        <w:t>, including</w:t>
      </w:r>
      <w:r>
        <w:t xml:space="preserve"> the introduction of the Core Content Framework (CCF), the Early Career Framework (ECF) and the establishment of 87 new teaching school hubs.</w:t>
      </w:r>
    </w:p>
    <w:p w14:paraId="387CD1B9" w14:textId="77777777" w:rsidR="00A2693B" w:rsidRDefault="00A2693B" w:rsidP="00BF1365">
      <w:pPr>
        <w:jc w:val="both"/>
      </w:pPr>
    </w:p>
    <w:p w14:paraId="40634736" w14:textId="30DFADF0" w:rsidR="00A2693B" w:rsidRDefault="00A2693B" w:rsidP="00BF1365">
      <w:pPr>
        <w:jc w:val="both"/>
      </w:pPr>
      <w:r>
        <w:t xml:space="preserve">The Department for Education announced its intention to review the ‘shape of the ITE market’ in its January 2019 </w:t>
      </w:r>
      <w:r w:rsidR="00BF1365">
        <w:t>T</w:t>
      </w:r>
      <w:r>
        <w:t xml:space="preserve">eacher Recruitment and Retention Strategy. </w:t>
      </w:r>
      <w:r w:rsidR="00BF1365">
        <w:t xml:space="preserve"> </w:t>
      </w:r>
      <w:r>
        <w:t>The review did not</w:t>
      </w:r>
      <w:r w:rsidR="00366992">
        <w:t>,</w:t>
      </w:r>
      <w:r>
        <w:t xml:space="preserve"> however</w:t>
      </w:r>
      <w:r w:rsidR="00366992">
        <w:t>,</w:t>
      </w:r>
      <w:r>
        <w:t xml:space="preserve"> begin in earnest until the autumn of 2020 when an Expert Advisory Group was established. </w:t>
      </w:r>
      <w:r w:rsidR="00BF1365">
        <w:t xml:space="preserve"> </w:t>
      </w:r>
      <w:r>
        <w:t xml:space="preserve">A formal statement about the review was made on 2 January 2021 alongside an announcement about the establishment of a new Institute of Teaching (IOT). </w:t>
      </w:r>
      <w:r w:rsidR="00BF1365">
        <w:t xml:space="preserve"> </w:t>
      </w:r>
      <w:r>
        <w:t xml:space="preserve">Although technically separate from the market review, IOT documentation refers to it as being part of an ‘ambitious’ reform of ITE. </w:t>
      </w:r>
    </w:p>
    <w:p w14:paraId="6E8EF6A8" w14:textId="7D99860F" w:rsidR="00A2693B" w:rsidRDefault="00A2693B" w:rsidP="00BF1365">
      <w:pPr>
        <w:jc w:val="both"/>
      </w:pPr>
    </w:p>
    <w:p w14:paraId="147AE66C" w14:textId="102096EC" w:rsidR="00A2693B" w:rsidRDefault="00A2693B" w:rsidP="00BF1365">
      <w:pPr>
        <w:jc w:val="both"/>
      </w:pPr>
      <w:r>
        <w:t xml:space="preserve">The initial training of teachers is core to the work of the APPG for the Teaching Profession.  </w:t>
      </w:r>
      <w:r w:rsidR="00BF1365">
        <w:t xml:space="preserve"> </w:t>
      </w:r>
      <w:r>
        <w:t>We are therefore carrying out this urgent review to inform the debate around any proposed changes to Initial Teacher Education.</w:t>
      </w:r>
    </w:p>
    <w:p w14:paraId="05B8F78C" w14:textId="1CA5820D" w:rsidR="00A2693B" w:rsidRDefault="00A2693B" w:rsidP="00BF1365">
      <w:pPr>
        <w:jc w:val="both"/>
      </w:pPr>
      <w:r>
        <w:t xml:space="preserve"> </w:t>
      </w:r>
    </w:p>
    <w:p w14:paraId="5459103B" w14:textId="49E66B77" w:rsidR="00A2693B" w:rsidRDefault="00A2693B">
      <w:pPr>
        <w:spacing w:after="160" w:line="259" w:lineRule="auto"/>
        <w:rPr>
          <w:i/>
        </w:rPr>
      </w:pPr>
      <w:r>
        <w:rPr>
          <w:i/>
        </w:rPr>
        <w:br w:type="page"/>
      </w:r>
    </w:p>
    <w:p w14:paraId="27B590D8" w14:textId="13A3CDAA" w:rsidR="00282B50" w:rsidRPr="000D31F9" w:rsidRDefault="00366992" w:rsidP="00BF1365">
      <w:pPr>
        <w:jc w:val="both"/>
        <w:rPr>
          <w:i/>
          <w:color w:val="FF0000"/>
        </w:rPr>
      </w:pPr>
      <w:r w:rsidRPr="000D31F9">
        <w:rPr>
          <w:i/>
          <w:color w:val="FF0000"/>
        </w:rPr>
        <w:lastRenderedPageBreak/>
        <w:t>You do not have to answer every question but there is an overall limit of 2000 words.</w:t>
      </w:r>
    </w:p>
    <w:p w14:paraId="0E15AC15" w14:textId="4C75F0F9" w:rsidR="00366992" w:rsidRPr="000D31F9" w:rsidRDefault="00366992" w:rsidP="00BF1365">
      <w:pPr>
        <w:jc w:val="both"/>
        <w:rPr>
          <w:i/>
          <w:color w:val="FF0000"/>
        </w:rPr>
      </w:pPr>
      <w:r w:rsidRPr="000D31F9">
        <w:rPr>
          <w:i/>
          <w:color w:val="FF0000"/>
        </w:rPr>
        <w:t>The responses to each question will be collated by a different member of the SIG.</w:t>
      </w:r>
    </w:p>
    <w:p w14:paraId="63AA6BFA" w14:textId="4074323A" w:rsidR="00366992" w:rsidRPr="000D31F9" w:rsidRDefault="00366992" w:rsidP="00BF1365">
      <w:pPr>
        <w:jc w:val="both"/>
        <w:rPr>
          <w:i/>
          <w:color w:val="FF0000"/>
        </w:rPr>
      </w:pPr>
      <w:r w:rsidRPr="000D31F9">
        <w:rPr>
          <w:i/>
          <w:color w:val="FF0000"/>
        </w:rPr>
        <w:t>To help the administration, please put you name in the header.</w:t>
      </w:r>
    </w:p>
    <w:p w14:paraId="610AAACB" w14:textId="714727E0" w:rsidR="00366992" w:rsidRDefault="00366992" w:rsidP="00530C19">
      <w:pPr>
        <w:rPr>
          <w:i/>
        </w:rPr>
      </w:pPr>
    </w:p>
    <w:p w14:paraId="51D1BF6C" w14:textId="77777777" w:rsidR="00366992" w:rsidRPr="00282B50" w:rsidRDefault="00366992" w:rsidP="00530C19">
      <w:pPr>
        <w:rPr>
          <w:i/>
        </w:rPr>
      </w:pPr>
    </w:p>
    <w:tbl>
      <w:tblPr>
        <w:tblStyle w:val="TableGrid"/>
        <w:tblW w:w="0" w:type="auto"/>
        <w:tblLook w:val="04A0" w:firstRow="1" w:lastRow="0" w:firstColumn="1" w:lastColumn="0" w:noHBand="0" w:noVBand="1"/>
      </w:tblPr>
      <w:tblGrid>
        <w:gridCol w:w="9016"/>
      </w:tblGrid>
      <w:tr w:rsidR="00530C19" w14:paraId="16DF1661" w14:textId="77777777" w:rsidTr="00530C19">
        <w:tc>
          <w:tcPr>
            <w:tcW w:w="9016" w:type="dxa"/>
          </w:tcPr>
          <w:p w14:paraId="77D08DDC" w14:textId="77777777" w:rsidR="00530C19" w:rsidRPr="00BF1365" w:rsidRDefault="00282B50" w:rsidP="00A2693B">
            <w:pPr>
              <w:rPr>
                <w:rFonts w:ascii="Arial" w:hAnsi="Arial" w:cs="Arial"/>
                <w:b/>
              </w:rPr>
            </w:pPr>
            <w:r w:rsidRPr="00BF1365">
              <w:rPr>
                <w:rFonts w:ascii="Arial" w:hAnsi="Arial" w:cs="Arial"/>
                <w:b/>
              </w:rPr>
              <w:t xml:space="preserve">1. </w:t>
            </w:r>
            <w:r w:rsidR="00530C19" w:rsidRPr="00BF1365">
              <w:rPr>
                <w:rFonts w:ascii="Arial" w:hAnsi="Arial" w:cs="Arial"/>
                <w:b/>
              </w:rPr>
              <w:t xml:space="preserve">Is there a quality problem with NQTs? </w:t>
            </w:r>
          </w:p>
        </w:tc>
      </w:tr>
      <w:tr w:rsidR="00530C19" w14:paraId="676B2C9E" w14:textId="77777777" w:rsidTr="00917C54">
        <w:trPr>
          <w:trHeight w:hRule="exact" w:val="10773"/>
        </w:trPr>
        <w:tc>
          <w:tcPr>
            <w:tcW w:w="9016" w:type="dxa"/>
          </w:tcPr>
          <w:p w14:paraId="574164C5" w14:textId="77777777" w:rsidR="008037CF" w:rsidRDefault="008037CF" w:rsidP="00530C19">
            <w:pPr>
              <w:jc w:val="both"/>
              <w:rPr>
                <w:rFonts w:ascii="Arial" w:hAnsi="Arial" w:cs="Arial"/>
                <w:sz w:val="20"/>
                <w:szCs w:val="20"/>
              </w:rPr>
            </w:pPr>
          </w:p>
          <w:p w14:paraId="066D58EC" w14:textId="108E13A7" w:rsidR="00023D50" w:rsidRPr="00F71819" w:rsidRDefault="00023D50" w:rsidP="00530C19">
            <w:pPr>
              <w:jc w:val="both"/>
              <w:rPr>
                <w:rFonts w:ascii="Arial" w:hAnsi="Arial" w:cs="Arial"/>
                <w:sz w:val="20"/>
                <w:szCs w:val="20"/>
              </w:rPr>
            </w:pPr>
            <w:r w:rsidRPr="00F71819">
              <w:rPr>
                <w:rFonts w:ascii="Arial" w:hAnsi="Arial" w:cs="Arial"/>
                <w:sz w:val="20"/>
                <w:szCs w:val="20"/>
              </w:rPr>
              <w:t xml:space="preserve">According to </w:t>
            </w:r>
            <w:r w:rsidR="005D77EB">
              <w:rPr>
                <w:rFonts w:ascii="Arial" w:hAnsi="Arial" w:cs="Arial"/>
                <w:sz w:val="20"/>
                <w:szCs w:val="20"/>
              </w:rPr>
              <w:t xml:space="preserve">quality </w:t>
            </w:r>
            <w:r w:rsidRPr="00F71819">
              <w:rPr>
                <w:rFonts w:ascii="Arial" w:hAnsi="Arial" w:cs="Arial"/>
                <w:sz w:val="20"/>
                <w:szCs w:val="20"/>
              </w:rPr>
              <w:t>indicators</w:t>
            </w:r>
            <w:r w:rsidR="005D77EB">
              <w:rPr>
                <w:rFonts w:ascii="Arial" w:hAnsi="Arial" w:cs="Arial"/>
                <w:sz w:val="20"/>
                <w:szCs w:val="20"/>
              </w:rPr>
              <w:t xml:space="preserve"> such as evidence from </w:t>
            </w:r>
            <w:proofErr w:type="spellStart"/>
            <w:r w:rsidR="005D77EB">
              <w:rPr>
                <w:rFonts w:ascii="Arial" w:hAnsi="Arial" w:cs="Arial"/>
                <w:sz w:val="20"/>
                <w:szCs w:val="20"/>
              </w:rPr>
              <w:t>OfSTED</w:t>
            </w:r>
            <w:proofErr w:type="spellEnd"/>
            <w:r w:rsidR="008037CF">
              <w:rPr>
                <w:rStyle w:val="FootnoteReference"/>
                <w:rFonts w:ascii="Arial" w:hAnsi="Arial" w:cs="Arial"/>
                <w:sz w:val="20"/>
                <w:szCs w:val="20"/>
              </w:rPr>
              <w:footnoteReference w:id="1"/>
            </w:r>
            <w:r w:rsidR="005D77EB">
              <w:rPr>
                <w:rFonts w:ascii="Arial" w:hAnsi="Arial" w:cs="Arial"/>
                <w:sz w:val="20"/>
                <w:szCs w:val="20"/>
              </w:rPr>
              <w:t xml:space="preserve"> and surveys of NQTs</w:t>
            </w:r>
            <w:r w:rsidR="00F962D4">
              <w:rPr>
                <w:rStyle w:val="FootnoteReference"/>
                <w:rFonts w:ascii="Arial" w:hAnsi="Arial" w:cs="Arial"/>
                <w:sz w:val="20"/>
                <w:szCs w:val="20"/>
              </w:rPr>
              <w:footnoteReference w:id="2"/>
            </w:r>
            <w:r w:rsidRPr="00F71819">
              <w:rPr>
                <w:rFonts w:ascii="Arial" w:hAnsi="Arial" w:cs="Arial"/>
                <w:sz w:val="20"/>
                <w:szCs w:val="20"/>
              </w:rPr>
              <w:t xml:space="preserve">, the quality of ITE in this country is extremely good. </w:t>
            </w:r>
            <w:proofErr w:type="spellStart"/>
            <w:r w:rsidRPr="00F71819">
              <w:rPr>
                <w:rFonts w:ascii="Arial" w:hAnsi="Arial" w:cs="Arial"/>
                <w:sz w:val="20"/>
                <w:szCs w:val="20"/>
              </w:rPr>
              <w:t>OfSTED</w:t>
            </w:r>
            <w:proofErr w:type="spellEnd"/>
            <w:r w:rsidRPr="00F71819">
              <w:rPr>
                <w:rFonts w:ascii="Arial" w:hAnsi="Arial" w:cs="Arial"/>
                <w:sz w:val="20"/>
                <w:szCs w:val="20"/>
              </w:rPr>
              <w:t xml:space="preserve"> rate all ITE providers in England </w:t>
            </w:r>
            <w:r w:rsidR="0015291A" w:rsidRPr="00F71819">
              <w:rPr>
                <w:rFonts w:ascii="Arial" w:hAnsi="Arial" w:cs="Arial"/>
                <w:sz w:val="20"/>
                <w:szCs w:val="20"/>
              </w:rPr>
              <w:t>a</w:t>
            </w:r>
            <w:r w:rsidRPr="00F71819">
              <w:rPr>
                <w:rFonts w:ascii="Arial" w:hAnsi="Arial" w:cs="Arial"/>
                <w:sz w:val="20"/>
                <w:szCs w:val="20"/>
              </w:rPr>
              <w:t xml:space="preserve">s being ‘good’ or ‘outstanding’. </w:t>
            </w:r>
            <w:r w:rsidR="0015291A" w:rsidRPr="00F71819">
              <w:rPr>
                <w:rFonts w:ascii="Arial" w:hAnsi="Arial" w:cs="Arial"/>
                <w:sz w:val="20"/>
                <w:szCs w:val="20"/>
              </w:rPr>
              <w:t>Similar</w:t>
            </w:r>
            <w:r w:rsidRPr="00F71819">
              <w:rPr>
                <w:rFonts w:ascii="Arial" w:hAnsi="Arial" w:cs="Arial"/>
                <w:sz w:val="20"/>
                <w:szCs w:val="20"/>
              </w:rPr>
              <w:t xml:space="preserve"> conclusions were reached </w:t>
            </w:r>
            <w:r w:rsidR="0015291A" w:rsidRPr="00F71819">
              <w:rPr>
                <w:rFonts w:ascii="Arial" w:hAnsi="Arial" w:cs="Arial"/>
                <w:sz w:val="20"/>
                <w:szCs w:val="20"/>
              </w:rPr>
              <w:t>following</w:t>
            </w:r>
            <w:r w:rsidRPr="00F71819">
              <w:rPr>
                <w:rFonts w:ascii="Arial" w:hAnsi="Arial" w:cs="Arial"/>
                <w:sz w:val="20"/>
                <w:szCs w:val="20"/>
              </w:rPr>
              <w:t xml:space="preserve"> inspections carried out under previous inspection </w:t>
            </w:r>
            <w:r w:rsidR="0015291A" w:rsidRPr="00F71819">
              <w:rPr>
                <w:rFonts w:ascii="Arial" w:hAnsi="Arial" w:cs="Arial"/>
                <w:sz w:val="20"/>
                <w:szCs w:val="20"/>
              </w:rPr>
              <w:t>frameworks</w:t>
            </w:r>
            <w:r w:rsidRPr="00F71819">
              <w:rPr>
                <w:rFonts w:ascii="Arial" w:hAnsi="Arial" w:cs="Arial"/>
                <w:sz w:val="20"/>
                <w:szCs w:val="20"/>
              </w:rPr>
              <w:t xml:space="preserve">, and reports from UCET members about the preparations they are </w:t>
            </w:r>
            <w:r w:rsidR="004E3438" w:rsidRPr="00F71819">
              <w:rPr>
                <w:rFonts w:ascii="Arial" w:hAnsi="Arial" w:cs="Arial"/>
                <w:sz w:val="20"/>
                <w:szCs w:val="20"/>
              </w:rPr>
              <w:t>making in regards</w:t>
            </w:r>
            <w:r w:rsidR="000A386B">
              <w:rPr>
                <w:rFonts w:ascii="Arial" w:hAnsi="Arial" w:cs="Arial"/>
                <w:sz w:val="20"/>
                <w:szCs w:val="20"/>
              </w:rPr>
              <w:t xml:space="preserve"> to</w:t>
            </w:r>
            <w:r w:rsidR="004E3438" w:rsidRPr="00F71819">
              <w:rPr>
                <w:rFonts w:ascii="Arial" w:hAnsi="Arial" w:cs="Arial"/>
                <w:sz w:val="20"/>
                <w:szCs w:val="20"/>
              </w:rPr>
              <w:t xml:space="preserve"> the new inspection framework, and the ITE Core Content Framework, indicate that similar conclusions are likely to be reached when inspections begin again under the new inspection methodology.</w:t>
            </w:r>
          </w:p>
          <w:p w14:paraId="5B1FA583" w14:textId="77777777" w:rsidR="004E3438" w:rsidRPr="00F71819" w:rsidRDefault="004E3438" w:rsidP="00530C19">
            <w:pPr>
              <w:jc w:val="both"/>
              <w:rPr>
                <w:rFonts w:ascii="Arial" w:hAnsi="Arial" w:cs="Arial"/>
                <w:sz w:val="20"/>
                <w:szCs w:val="20"/>
              </w:rPr>
            </w:pPr>
          </w:p>
          <w:p w14:paraId="4DFA90EE" w14:textId="4E09FA65" w:rsidR="004E3438" w:rsidRPr="00F71819" w:rsidRDefault="004E3438" w:rsidP="00530C19">
            <w:pPr>
              <w:jc w:val="both"/>
              <w:rPr>
                <w:rFonts w:ascii="Arial" w:hAnsi="Arial" w:cs="Arial"/>
                <w:sz w:val="20"/>
                <w:szCs w:val="20"/>
              </w:rPr>
            </w:pPr>
            <w:r w:rsidRPr="00F71819">
              <w:rPr>
                <w:rFonts w:ascii="Arial" w:hAnsi="Arial" w:cs="Arial"/>
                <w:sz w:val="20"/>
                <w:szCs w:val="20"/>
              </w:rPr>
              <w:t xml:space="preserve">Until 2017, the </w:t>
            </w:r>
            <w:proofErr w:type="spellStart"/>
            <w:r w:rsidRPr="00F71819">
              <w:rPr>
                <w:rFonts w:ascii="Arial" w:hAnsi="Arial" w:cs="Arial"/>
                <w:sz w:val="20"/>
                <w:szCs w:val="20"/>
              </w:rPr>
              <w:t>DfE</w:t>
            </w:r>
            <w:proofErr w:type="spellEnd"/>
            <w:r w:rsidRPr="00F71819">
              <w:rPr>
                <w:rFonts w:ascii="Arial" w:hAnsi="Arial" w:cs="Arial"/>
                <w:sz w:val="20"/>
                <w:szCs w:val="20"/>
              </w:rPr>
              <w:t xml:space="preserve"> carried out annual surveys of NQTs</w:t>
            </w:r>
            <w:r w:rsidR="009C126F">
              <w:rPr>
                <w:rFonts w:ascii="Arial" w:hAnsi="Arial" w:cs="Arial"/>
                <w:sz w:val="20"/>
                <w:szCs w:val="20"/>
              </w:rPr>
              <w:t xml:space="preserve"> </w:t>
            </w:r>
            <w:r w:rsidRPr="00F71819">
              <w:rPr>
                <w:rFonts w:ascii="Arial" w:hAnsi="Arial" w:cs="Arial"/>
                <w:sz w:val="20"/>
                <w:szCs w:val="20"/>
              </w:rPr>
              <w:t xml:space="preserve">about the extent to which their ITE equipped them to be good teachers. These regularly found that some 90% of NQTs considered their ITE to have been either ‘good’ or ‘very good’, consistent with </w:t>
            </w:r>
            <w:proofErr w:type="spellStart"/>
            <w:r w:rsidRPr="00F71819">
              <w:rPr>
                <w:rFonts w:ascii="Arial" w:hAnsi="Arial" w:cs="Arial"/>
                <w:sz w:val="20"/>
                <w:szCs w:val="20"/>
              </w:rPr>
              <w:t>OfSTED</w:t>
            </w:r>
            <w:proofErr w:type="spellEnd"/>
            <w:r w:rsidRPr="00F71819">
              <w:rPr>
                <w:rFonts w:ascii="Arial" w:hAnsi="Arial" w:cs="Arial"/>
                <w:sz w:val="20"/>
                <w:szCs w:val="20"/>
              </w:rPr>
              <w:t xml:space="preserve"> findings. Although responses to the NQT survey tailed off when </w:t>
            </w:r>
            <w:proofErr w:type="spellStart"/>
            <w:r w:rsidRPr="00F71819">
              <w:rPr>
                <w:rFonts w:ascii="Arial" w:hAnsi="Arial" w:cs="Arial"/>
                <w:sz w:val="20"/>
                <w:szCs w:val="20"/>
              </w:rPr>
              <w:t>DfE</w:t>
            </w:r>
            <w:proofErr w:type="spellEnd"/>
            <w:r w:rsidRPr="00F71819">
              <w:rPr>
                <w:rFonts w:ascii="Arial" w:hAnsi="Arial" w:cs="Arial"/>
                <w:sz w:val="20"/>
                <w:szCs w:val="20"/>
              </w:rPr>
              <w:t xml:space="preserve"> moved from print to on-line data collections</w:t>
            </w:r>
            <w:r w:rsidR="00042CAA">
              <w:rPr>
                <w:rFonts w:ascii="Arial" w:hAnsi="Arial" w:cs="Arial"/>
                <w:sz w:val="20"/>
                <w:szCs w:val="20"/>
              </w:rPr>
              <w:t xml:space="preserve"> (before being curtailed in 2017)</w:t>
            </w:r>
            <w:r w:rsidRPr="00F71819">
              <w:rPr>
                <w:rFonts w:ascii="Arial" w:hAnsi="Arial" w:cs="Arial"/>
                <w:sz w:val="20"/>
                <w:szCs w:val="20"/>
              </w:rPr>
              <w:t xml:space="preserve">, the collective results </w:t>
            </w:r>
            <w:r w:rsidR="0015291A" w:rsidRPr="00F71819">
              <w:rPr>
                <w:rFonts w:ascii="Arial" w:hAnsi="Arial" w:cs="Arial"/>
                <w:sz w:val="20"/>
                <w:szCs w:val="20"/>
              </w:rPr>
              <w:t>going</w:t>
            </w:r>
            <w:r w:rsidRPr="00F71819">
              <w:rPr>
                <w:rFonts w:ascii="Arial" w:hAnsi="Arial" w:cs="Arial"/>
                <w:sz w:val="20"/>
                <w:szCs w:val="20"/>
              </w:rPr>
              <w:t xml:space="preserve"> back many years clearly demonstrate how well NQTs </w:t>
            </w:r>
            <w:r w:rsidR="0050060D" w:rsidRPr="00F71819">
              <w:rPr>
                <w:rFonts w:ascii="Arial" w:hAnsi="Arial" w:cs="Arial"/>
                <w:sz w:val="20"/>
                <w:szCs w:val="20"/>
              </w:rPr>
              <w:t>have valued the quality and relevance of their ITE.</w:t>
            </w:r>
          </w:p>
          <w:p w14:paraId="55D68456" w14:textId="77777777" w:rsidR="0050060D" w:rsidRPr="00F71819" w:rsidRDefault="0050060D" w:rsidP="00530C19">
            <w:pPr>
              <w:jc w:val="both"/>
              <w:rPr>
                <w:rFonts w:ascii="Arial" w:hAnsi="Arial" w:cs="Arial"/>
                <w:sz w:val="20"/>
                <w:szCs w:val="20"/>
              </w:rPr>
            </w:pPr>
          </w:p>
          <w:p w14:paraId="08C6285F" w14:textId="516C67DB" w:rsidR="0050060D" w:rsidRPr="00F71819" w:rsidRDefault="00F71819" w:rsidP="00530C19">
            <w:pPr>
              <w:jc w:val="both"/>
              <w:rPr>
                <w:rFonts w:ascii="Arial" w:hAnsi="Arial" w:cs="Arial"/>
                <w:sz w:val="20"/>
                <w:szCs w:val="20"/>
              </w:rPr>
            </w:pPr>
            <w:r w:rsidRPr="00F71819">
              <w:rPr>
                <w:rFonts w:ascii="Arial" w:hAnsi="Arial" w:cs="Arial"/>
                <w:sz w:val="20"/>
                <w:szCs w:val="20"/>
              </w:rPr>
              <w:t>More recent data confirm</w:t>
            </w:r>
            <w:r w:rsidR="0050060D" w:rsidRPr="00F71819">
              <w:rPr>
                <w:rFonts w:ascii="Arial" w:hAnsi="Arial" w:cs="Arial"/>
                <w:sz w:val="20"/>
                <w:szCs w:val="20"/>
              </w:rPr>
              <w:t xml:space="preserve"> these </w:t>
            </w:r>
            <w:r w:rsidR="0015291A" w:rsidRPr="00F71819">
              <w:rPr>
                <w:rFonts w:ascii="Arial" w:hAnsi="Arial" w:cs="Arial"/>
                <w:sz w:val="20"/>
                <w:szCs w:val="20"/>
              </w:rPr>
              <w:t>results</w:t>
            </w:r>
            <w:r w:rsidR="0050060D" w:rsidRPr="00F71819">
              <w:rPr>
                <w:rFonts w:ascii="Arial" w:hAnsi="Arial" w:cs="Arial"/>
                <w:sz w:val="20"/>
                <w:szCs w:val="20"/>
              </w:rPr>
              <w:t>. In Mar</w:t>
            </w:r>
            <w:r w:rsidR="00042CAA">
              <w:rPr>
                <w:rFonts w:ascii="Arial" w:hAnsi="Arial" w:cs="Arial"/>
                <w:sz w:val="20"/>
                <w:szCs w:val="20"/>
              </w:rPr>
              <w:t>ch 20</w:t>
            </w:r>
            <w:r w:rsidR="0050060D" w:rsidRPr="00F71819">
              <w:rPr>
                <w:rFonts w:ascii="Arial" w:hAnsi="Arial" w:cs="Arial"/>
                <w:sz w:val="20"/>
                <w:szCs w:val="20"/>
              </w:rPr>
              <w:t>21 a Teacher Tap survey</w:t>
            </w:r>
            <w:r w:rsidR="00B23FBE">
              <w:rPr>
                <w:rStyle w:val="FootnoteReference"/>
                <w:rFonts w:ascii="Arial" w:hAnsi="Arial" w:cs="Arial"/>
                <w:sz w:val="20"/>
                <w:szCs w:val="20"/>
              </w:rPr>
              <w:footnoteReference w:id="3"/>
            </w:r>
            <w:r w:rsidR="0050060D" w:rsidRPr="00F71819">
              <w:rPr>
                <w:rFonts w:ascii="Arial" w:hAnsi="Arial" w:cs="Arial"/>
                <w:sz w:val="20"/>
                <w:szCs w:val="20"/>
              </w:rPr>
              <w:t xml:space="preserve"> commissioned by UCET found that:</w:t>
            </w:r>
          </w:p>
          <w:p w14:paraId="0EAF806A" w14:textId="77777777" w:rsidR="0050060D" w:rsidRPr="00F71819" w:rsidRDefault="0050060D" w:rsidP="00530C19">
            <w:pPr>
              <w:jc w:val="both"/>
              <w:rPr>
                <w:rFonts w:ascii="Arial" w:hAnsi="Arial" w:cs="Arial"/>
                <w:sz w:val="20"/>
                <w:szCs w:val="20"/>
              </w:rPr>
            </w:pPr>
          </w:p>
          <w:p w14:paraId="3FEA5EB6" w14:textId="3D9FB47D" w:rsidR="0050060D" w:rsidRPr="00F71819" w:rsidRDefault="0015291A" w:rsidP="0015291A">
            <w:pPr>
              <w:pStyle w:val="xxmsonormal"/>
              <w:numPr>
                <w:ilvl w:val="0"/>
                <w:numId w:val="3"/>
              </w:numPr>
              <w:rPr>
                <w:rFonts w:ascii="Arial" w:hAnsi="Arial" w:cs="Arial"/>
                <w:sz w:val="20"/>
                <w:szCs w:val="20"/>
              </w:rPr>
            </w:pPr>
            <w:r w:rsidRPr="00F71819">
              <w:rPr>
                <w:rFonts w:ascii="Arial" w:hAnsi="Arial" w:cs="Arial"/>
                <w:sz w:val="20"/>
                <w:szCs w:val="20"/>
              </w:rPr>
              <w:t>7</w:t>
            </w:r>
            <w:r w:rsidR="0050060D" w:rsidRPr="00F71819">
              <w:rPr>
                <w:rFonts w:ascii="Arial" w:hAnsi="Arial" w:cs="Arial"/>
                <w:sz w:val="20"/>
                <w:szCs w:val="20"/>
              </w:rPr>
              <w:t>8% of teachers trained in the last two years would recommend their ITE route to a friend</w:t>
            </w:r>
          </w:p>
          <w:p w14:paraId="1D40504C" w14:textId="4B0268FB" w:rsidR="0050060D" w:rsidRPr="00F71819" w:rsidRDefault="0050060D" w:rsidP="0015291A">
            <w:pPr>
              <w:pStyle w:val="xxmsonormal"/>
              <w:numPr>
                <w:ilvl w:val="0"/>
                <w:numId w:val="3"/>
              </w:numPr>
              <w:rPr>
                <w:rFonts w:ascii="Arial" w:hAnsi="Arial" w:cs="Arial"/>
                <w:sz w:val="20"/>
                <w:szCs w:val="20"/>
              </w:rPr>
            </w:pPr>
            <w:r w:rsidRPr="00F71819">
              <w:rPr>
                <w:rFonts w:ascii="Arial" w:hAnsi="Arial" w:cs="Arial"/>
                <w:sz w:val="20"/>
                <w:szCs w:val="20"/>
              </w:rPr>
              <w:t>81% of teachers trained in the last two years rate the quality of teaching and learning from their ITE highly</w:t>
            </w:r>
          </w:p>
          <w:p w14:paraId="28BE6DC4" w14:textId="24BE1BBE" w:rsidR="00F71819" w:rsidRPr="0015291A" w:rsidRDefault="00F71819" w:rsidP="0015291A">
            <w:pPr>
              <w:pStyle w:val="xxmsonormal"/>
              <w:numPr>
                <w:ilvl w:val="0"/>
                <w:numId w:val="3"/>
              </w:numPr>
              <w:rPr>
                <w:rFonts w:ascii="Arial" w:hAnsi="Arial" w:cs="Arial"/>
              </w:rPr>
            </w:pPr>
            <w:r w:rsidRPr="00F71819">
              <w:rPr>
                <w:rFonts w:ascii="Arial" w:hAnsi="Arial" w:cs="Arial"/>
                <w:sz w:val="20"/>
                <w:szCs w:val="20"/>
              </w:rPr>
              <w:t xml:space="preserve">76% of teachers trained in the last two years say their ITE prepared them well for their </w:t>
            </w:r>
            <w:r>
              <w:rPr>
                <w:rFonts w:ascii="Calibri" w:hAnsi="Calibri"/>
                <w:sz w:val="22"/>
                <w:szCs w:val="22"/>
              </w:rPr>
              <w:t>first role</w:t>
            </w:r>
          </w:p>
          <w:p w14:paraId="22CE623F" w14:textId="77777777" w:rsidR="00535BFA" w:rsidRDefault="00535BFA" w:rsidP="0015291A">
            <w:pPr>
              <w:pStyle w:val="xxmsonormal"/>
              <w:rPr>
                <w:rFonts w:ascii="Arial" w:hAnsi="Arial" w:cs="Arial"/>
                <w:sz w:val="20"/>
                <w:szCs w:val="20"/>
              </w:rPr>
            </w:pPr>
          </w:p>
          <w:p w14:paraId="324B3BCF" w14:textId="51A89051" w:rsidR="009729C7" w:rsidRDefault="009729C7" w:rsidP="009729C7">
            <w:r>
              <w:rPr>
                <w:rFonts w:ascii="Arial" w:hAnsi="Arial" w:cs="Arial"/>
                <w:sz w:val="20"/>
                <w:szCs w:val="20"/>
              </w:rPr>
              <w:t>The e</w:t>
            </w:r>
            <w:r w:rsidRPr="00F71819">
              <w:rPr>
                <w:rFonts w:ascii="Arial" w:hAnsi="Arial" w:cs="Arial"/>
                <w:sz w:val="20"/>
                <w:szCs w:val="20"/>
              </w:rPr>
              <w:t xml:space="preserve">vidence shows that the </w:t>
            </w:r>
            <w:r>
              <w:rPr>
                <w:rFonts w:ascii="Arial" w:hAnsi="Arial" w:cs="Arial"/>
                <w:sz w:val="20"/>
                <w:szCs w:val="20"/>
              </w:rPr>
              <w:t xml:space="preserve">overall </w:t>
            </w:r>
            <w:r w:rsidRPr="00F71819">
              <w:rPr>
                <w:rFonts w:ascii="Arial" w:hAnsi="Arial" w:cs="Arial"/>
                <w:sz w:val="20"/>
                <w:szCs w:val="20"/>
              </w:rPr>
              <w:t>quality of ITE in this</w:t>
            </w:r>
            <w:r>
              <w:rPr>
                <w:rFonts w:ascii="Arial" w:hAnsi="Arial" w:cs="Arial"/>
                <w:sz w:val="20"/>
                <w:szCs w:val="20"/>
              </w:rPr>
              <w:t xml:space="preserve"> country, and by implication</w:t>
            </w:r>
            <w:r w:rsidRPr="00F71819">
              <w:rPr>
                <w:rFonts w:ascii="Arial" w:hAnsi="Arial" w:cs="Arial"/>
                <w:sz w:val="20"/>
                <w:szCs w:val="20"/>
              </w:rPr>
              <w:t xml:space="preserve"> the quality of</w:t>
            </w:r>
            <w:r>
              <w:rPr>
                <w:rFonts w:ascii="Arial" w:hAnsi="Arial" w:cs="Arial"/>
                <w:sz w:val="20"/>
                <w:szCs w:val="20"/>
              </w:rPr>
              <w:t xml:space="preserve"> NQTs, is s</w:t>
            </w:r>
            <w:r w:rsidRPr="00F71819">
              <w:rPr>
                <w:rFonts w:ascii="Arial" w:hAnsi="Arial" w:cs="Arial"/>
                <w:sz w:val="20"/>
                <w:szCs w:val="20"/>
              </w:rPr>
              <w:t xml:space="preserve">trong. </w:t>
            </w:r>
            <w:r>
              <w:rPr>
                <w:rFonts w:ascii="Arial" w:hAnsi="Arial" w:cs="Arial"/>
                <w:sz w:val="20"/>
                <w:szCs w:val="20"/>
              </w:rPr>
              <w:t xml:space="preserve">The actual performance of NQTs once employed in a school is however </w:t>
            </w:r>
            <w:r w:rsidR="000A386B">
              <w:rPr>
                <w:rFonts w:ascii="Arial" w:hAnsi="Arial" w:cs="Arial"/>
                <w:sz w:val="20"/>
                <w:szCs w:val="20"/>
              </w:rPr>
              <w:t>(</w:t>
            </w:r>
            <w:r>
              <w:rPr>
                <w:rFonts w:ascii="Arial" w:hAnsi="Arial" w:cs="Arial"/>
                <w:sz w:val="20"/>
                <w:szCs w:val="20"/>
              </w:rPr>
              <w:t>to an extent</w:t>
            </w:r>
            <w:r w:rsidR="000A386B">
              <w:rPr>
                <w:rFonts w:ascii="Arial" w:hAnsi="Arial" w:cs="Arial"/>
                <w:sz w:val="20"/>
                <w:szCs w:val="20"/>
              </w:rPr>
              <w:t>)</w:t>
            </w:r>
            <w:r>
              <w:rPr>
                <w:rFonts w:ascii="Arial" w:hAnsi="Arial" w:cs="Arial"/>
                <w:sz w:val="20"/>
                <w:szCs w:val="20"/>
              </w:rPr>
              <w:t xml:space="preserve"> determined by the context in which they are working, the level and quality of early career support they receive from schools and the culture and management practices of the school</w:t>
            </w:r>
            <w:r>
              <w:rPr>
                <w:rStyle w:val="FootnoteReference"/>
                <w:rFonts w:ascii="Arial" w:hAnsi="Arial" w:cs="Arial"/>
                <w:sz w:val="20"/>
                <w:szCs w:val="20"/>
              </w:rPr>
              <w:footnoteReference w:id="4"/>
            </w:r>
            <w:r w:rsidRPr="00F71819">
              <w:rPr>
                <w:rFonts w:ascii="Arial" w:hAnsi="Arial" w:cs="Arial"/>
                <w:sz w:val="20"/>
                <w:szCs w:val="20"/>
              </w:rPr>
              <w:t xml:space="preserve">. </w:t>
            </w:r>
            <w:r>
              <w:rPr>
                <w:rFonts w:ascii="Arial" w:hAnsi="Arial" w:cs="Arial"/>
                <w:sz w:val="20"/>
                <w:szCs w:val="20"/>
              </w:rPr>
              <w:t>ITE is just one of a number of things that determine how well NQTs perform during their first teaching role.  ITE does of cours</w:t>
            </w:r>
            <w:r w:rsidR="000A386B">
              <w:rPr>
                <w:rFonts w:ascii="Arial" w:hAnsi="Arial" w:cs="Arial"/>
                <w:sz w:val="20"/>
                <w:szCs w:val="20"/>
              </w:rPr>
              <w:t xml:space="preserve">e have an impact, and NQTs can </w:t>
            </w:r>
            <w:r>
              <w:rPr>
                <w:rFonts w:ascii="Arial" w:hAnsi="Arial" w:cs="Arial"/>
                <w:sz w:val="20"/>
                <w:szCs w:val="20"/>
              </w:rPr>
              <w:t>feel overwhelmed during their first years of teaching. ITE programmes which allow for deep engagement with the complexity of teaching and with research are likely to produce teachers who are able to develop over time and adapt flexibly to changing circumstances, and are</w:t>
            </w:r>
            <w:r w:rsidR="000A386B">
              <w:rPr>
                <w:rFonts w:ascii="Arial" w:hAnsi="Arial" w:cs="Arial"/>
                <w:sz w:val="20"/>
                <w:szCs w:val="20"/>
              </w:rPr>
              <w:t>,</w:t>
            </w:r>
            <w:r>
              <w:rPr>
                <w:rFonts w:ascii="Arial" w:hAnsi="Arial" w:cs="Arial"/>
                <w:sz w:val="20"/>
                <w:szCs w:val="20"/>
              </w:rPr>
              <w:t xml:space="preserve"> </w:t>
            </w:r>
            <w:r w:rsidR="00B568A3">
              <w:rPr>
                <w:rFonts w:ascii="Arial" w:hAnsi="Arial" w:cs="Arial"/>
                <w:sz w:val="20"/>
                <w:szCs w:val="20"/>
              </w:rPr>
              <w:t>as a result</w:t>
            </w:r>
            <w:r w:rsidR="000A386B">
              <w:rPr>
                <w:rFonts w:ascii="Arial" w:hAnsi="Arial" w:cs="Arial"/>
                <w:sz w:val="20"/>
                <w:szCs w:val="20"/>
              </w:rPr>
              <w:t>,</w:t>
            </w:r>
            <w:r w:rsidR="00B568A3">
              <w:rPr>
                <w:rFonts w:ascii="Arial" w:hAnsi="Arial" w:cs="Arial"/>
                <w:sz w:val="20"/>
                <w:szCs w:val="20"/>
              </w:rPr>
              <w:t xml:space="preserve"> </w:t>
            </w:r>
            <w:r>
              <w:rPr>
                <w:rFonts w:ascii="Arial" w:hAnsi="Arial" w:cs="Arial"/>
                <w:sz w:val="20"/>
                <w:szCs w:val="20"/>
              </w:rPr>
              <w:t>likely to remain and develop in the profession.</w:t>
            </w:r>
          </w:p>
          <w:p w14:paraId="3239976C" w14:textId="12AC1255" w:rsidR="0015291A" w:rsidRPr="006F16C2" w:rsidRDefault="0015291A" w:rsidP="0015291A">
            <w:pPr>
              <w:pStyle w:val="xxmsonormal"/>
              <w:rPr>
                <w:rFonts w:ascii="Arial" w:hAnsi="Arial" w:cs="Arial"/>
                <w:sz w:val="20"/>
                <w:szCs w:val="20"/>
              </w:rPr>
            </w:pPr>
          </w:p>
          <w:p w14:paraId="603D033A" w14:textId="77777777" w:rsidR="0015291A" w:rsidRPr="0015291A" w:rsidRDefault="0015291A" w:rsidP="0015291A">
            <w:pPr>
              <w:pStyle w:val="xxmsonormal"/>
              <w:rPr>
                <w:rFonts w:ascii="Arial" w:hAnsi="Arial" w:cs="Arial"/>
              </w:rPr>
            </w:pPr>
          </w:p>
          <w:p w14:paraId="20AE4660" w14:textId="58CEA252" w:rsidR="00295452" w:rsidRDefault="00295452" w:rsidP="00530C19">
            <w:pPr>
              <w:jc w:val="both"/>
              <w:rPr>
                <w:rFonts w:ascii="Arial" w:hAnsi="Arial" w:cs="Arial"/>
                <w:sz w:val="24"/>
              </w:rPr>
            </w:pPr>
          </w:p>
          <w:p w14:paraId="0A360EA4" w14:textId="56DC5DCD" w:rsidR="00295452" w:rsidRDefault="00295452" w:rsidP="00530C19">
            <w:pPr>
              <w:jc w:val="both"/>
              <w:rPr>
                <w:rFonts w:ascii="Arial" w:hAnsi="Arial" w:cs="Arial"/>
                <w:sz w:val="24"/>
              </w:rPr>
            </w:pPr>
          </w:p>
          <w:p w14:paraId="5F077277" w14:textId="3BBF15C6" w:rsidR="00295452" w:rsidRDefault="00295452" w:rsidP="00530C19">
            <w:pPr>
              <w:jc w:val="both"/>
              <w:rPr>
                <w:rFonts w:ascii="Arial" w:hAnsi="Arial" w:cs="Arial"/>
                <w:sz w:val="24"/>
              </w:rPr>
            </w:pPr>
          </w:p>
          <w:p w14:paraId="2CB31EE7" w14:textId="6EB552D1" w:rsidR="00295452" w:rsidRDefault="00295452" w:rsidP="00530C19">
            <w:pPr>
              <w:jc w:val="both"/>
              <w:rPr>
                <w:rFonts w:ascii="Arial" w:hAnsi="Arial" w:cs="Arial"/>
                <w:sz w:val="24"/>
              </w:rPr>
            </w:pPr>
          </w:p>
          <w:p w14:paraId="3D370008" w14:textId="02090029" w:rsidR="00295452" w:rsidRDefault="00295452" w:rsidP="00530C19">
            <w:pPr>
              <w:jc w:val="both"/>
              <w:rPr>
                <w:rFonts w:ascii="Arial" w:hAnsi="Arial" w:cs="Arial"/>
                <w:sz w:val="24"/>
              </w:rPr>
            </w:pPr>
          </w:p>
          <w:p w14:paraId="2E57E2C9" w14:textId="7CA41435" w:rsidR="00295452" w:rsidRDefault="00295452" w:rsidP="00530C19">
            <w:pPr>
              <w:jc w:val="both"/>
              <w:rPr>
                <w:rFonts w:ascii="Arial" w:hAnsi="Arial" w:cs="Arial"/>
                <w:sz w:val="24"/>
              </w:rPr>
            </w:pPr>
          </w:p>
          <w:p w14:paraId="3DA82845" w14:textId="771DB202" w:rsidR="00295452" w:rsidRDefault="00295452" w:rsidP="00530C19">
            <w:pPr>
              <w:jc w:val="both"/>
              <w:rPr>
                <w:rFonts w:ascii="Arial" w:hAnsi="Arial" w:cs="Arial"/>
                <w:sz w:val="24"/>
              </w:rPr>
            </w:pPr>
          </w:p>
          <w:p w14:paraId="4942F9DA" w14:textId="2977F53E" w:rsidR="00295452" w:rsidRDefault="00295452" w:rsidP="00530C19">
            <w:pPr>
              <w:jc w:val="both"/>
              <w:rPr>
                <w:rFonts w:ascii="Arial" w:hAnsi="Arial" w:cs="Arial"/>
                <w:sz w:val="24"/>
              </w:rPr>
            </w:pPr>
          </w:p>
          <w:p w14:paraId="7A080537" w14:textId="20BD09F1" w:rsidR="00295452" w:rsidRDefault="00295452" w:rsidP="00530C19">
            <w:pPr>
              <w:jc w:val="both"/>
              <w:rPr>
                <w:rFonts w:ascii="Arial" w:hAnsi="Arial" w:cs="Arial"/>
                <w:sz w:val="24"/>
              </w:rPr>
            </w:pPr>
          </w:p>
          <w:p w14:paraId="0F3318E1" w14:textId="364E174D" w:rsidR="00295452" w:rsidRDefault="00295452" w:rsidP="00530C19">
            <w:pPr>
              <w:jc w:val="both"/>
              <w:rPr>
                <w:rFonts w:ascii="Arial" w:hAnsi="Arial" w:cs="Arial"/>
                <w:sz w:val="24"/>
              </w:rPr>
            </w:pPr>
          </w:p>
          <w:p w14:paraId="6CE0BB36" w14:textId="047B0972" w:rsidR="00295452" w:rsidRDefault="00295452" w:rsidP="00530C19">
            <w:pPr>
              <w:jc w:val="both"/>
              <w:rPr>
                <w:rFonts w:ascii="Arial" w:hAnsi="Arial" w:cs="Arial"/>
                <w:sz w:val="24"/>
              </w:rPr>
            </w:pPr>
          </w:p>
          <w:p w14:paraId="7F261395" w14:textId="72CA2BAB" w:rsidR="00295452" w:rsidRDefault="00295452" w:rsidP="00530C19">
            <w:pPr>
              <w:jc w:val="both"/>
              <w:rPr>
                <w:rFonts w:ascii="Arial" w:hAnsi="Arial" w:cs="Arial"/>
                <w:sz w:val="24"/>
              </w:rPr>
            </w:pPr>
          </w:p>
          <w:p w14:paraId="50FA38BB" w14:textId="2A5F3048" w:rsidR="00295452" w:rsidRDefault="00295452" w:rsidP="00530C19">
            <w:pPr>
              <w:jc w:val="both"/>
              <w:rPr>
                <w:rFonts w:ascii="Arial" w:hAnsi="Arial" w:cs="Arial"/>
                <w:sz w:val="24"/>
              </w:rPr>
            </w:pPr>
          </w:p>
          <w:p w14:paraId="20CC0589" w14:textId="4DFD2845" w:rsidR="00295452" w:rsidRDefault="00295452" w:rsidP="00530C19">
            <w:pPr>
              <w:jc w:val="both"/>
              <w:rPr>
                <w:rFonts w:ascii="Arial" w:hAnsi="Arial" w:cs="Arial"/>
                <w:sz w:val="24"/>
              </w:rPr>
            </w:pPr>
          </w:p>
          <w:p w14:paraId="03FEAE32" w14:textId="5C6D6072" w:rsidR="00295452" w:rsidRDefault="00295452" w:rsidP="00530C19">
            <w:pPr>
              <w:jc w:val="both"/>
              <w:rPr>
                <w:rFonts w:ascii="Arial" w:hAnsi="Arial" w:cs="Arial"/>
                <w:sz w:val="24"/>
              </w:rPr>
            </w:pPr>
          </w:p>
          <w:p w14:paraId="6B19DCAA" w14:textId="5A334B22" w:rsidR="00295452" w:rsidRDefault="00295452" w:rsidP="00530C19">
            <w:pPr>
              <w:jc w:val="both"/>
              <w:rPr>
                <w:rFonts w:ascii="Arial" w:hAnsi="Arial" w:cs="Arial"/>
                <w:sz w:val="24"/>
              </w:rPr>
            </w:pPr>
          </w:p>
          <w:p w14:paraId="7CD64E69" w14:textId="448B0409" w:rsidR="00295452" w:rsidRDefault="00295452" w:rsidP="00530C19">
            <w:pPr>
              <w:jc w:val="both"/>
              <w:rPr>
                <w:rFonts w:ascii="Arial" w:hAnsi="Arial" w:cs="Arial"/>
                <w:sz w:val="24"/>
              </w:rPr>
            </w:pPr>
          </w:p>
          <w:p w14:paraId="2426AAB5" w14:textId="7A6FA8A2" w:rsidR="00295452" w:rsidRDefault="00295452" w:rsidP="00530C19">
            <w:pPr>
              <w:jc w:val="both"/>
              <w:rPr>
                <w:rFonts w:ascii="Arial" w:hAnsi="Arial" w:cs="Arial"/>
                <w:sz w:val="24"/>
              </w:rPr>
            </w:pPr>
          </w:p>
          <w:p w14:paraId="28A5489D" w14:textId="77777777" w:rsidR="00295452" w:rsidRDefault="00295452" w:rsidP="00530C19">
            <w:pPr>
              <w:jc w:val="both"/>
              <w:rPr>
                <w:rFonts w:ascii="Arial" w:hAnsi="Arial" w:cs="Arial"/>
                <w:sz w:val="24"/>
              </w:rPr>
            </w:pPr>
          </w:p>
          <w:p w14:paraId="3C1388DD" w14:textId="547651D0" w:rsidR="00295452" w:rsidRDefault="00295452" w:rsidP="00530C19">
            <w:pPr>
              <w:jc w:val="both"/>
              <w:rPr>
                <w:rFonts w:ascii="Arial" w:hAnsi="Arial" w:cs="Arial"/>
                <w:sz w:val="24"/>
              </w:rPr>
            </w:pPr>
          </w:p>
          <w:p w14:paraId="5A2D75FF" w14:textId="1D14A4E2" w:rsidR="00295452" w:rsidRDefault="00295452" w:rsidP="00530C19">
            <w:pPr>
              <w:jc w:val="both"/>
              <w:rPr>
                <w:rFonts w:ascii="Arial" w:hAnsi="Arial" w:cs="Arial"/>
                <w:sz w:val="24"/>
              </w:rPr>
            </w:pPr>
          </w:p>
          <w:p w14:paraId="3C06457F" w14:textId="57A4F958" w:rsidR="00295452" w:rsidRDefault="00295452" w:rsidP="00530C19">
            <w:pPr>
              <w:jc w:val="both"/>
              <w:rPr>
                <w:rFonts w:ascii="Arial" w:hAnsi="Arial" w:cs="Arial"/>
                <w:sz w:val="24"/>
              </w:rPr>
            </w:pPr>
          </w:p>
          <w:p w14:paraId="6EFE877F" w14:textId="35A10DDF" w:rsidR="00295452" w:rsidRDefault="00295452" w:rsidP="00530C19">
            <w:pPr>
              <w:jc w:val="both"/>
              <w:rPr>
                <w:rFonts w:ascii="Arial" w:hAnsi="Arial" w:cs="Arial"/>
                <w:sz w:val="24"/>
              </w:rPr>
            </w:pPr>
          </w:p>
          <w:p w14:paraId="7E9DEBDD" w14:textId="0B6E84E9" w:rsidR="00295452" w:rsidRDefault="00295452" w:rsidP="00530C19">
            <w:pPr>
              <w:jc w:val="both"/>
              <w:rPr>
                <w:rFonts w:ascii="Arial" w:hAnsi="Arial" w:cs="Arial"/>
                <w:sz w:val="24"/>
              </w:rPr>
            </w:pPr>
          </w:p>
          <w:p w14:paraId="29ED896E" w14:textId="18BE0FF0" w:rsidR="00295452" w:rsidRDefault="00295452" w:rsidP="00530C19">
            <w:pPr>
              <w:jc w:val="both"/>
              <w:rPr>
                <w:rFonts w:ascii="Arial" w:hAnsi="Arial" w:cs="Arial"/>
                <w:sz w:val="24"/>
              </w:rPr>
            </w:pPr>
          </w:p>
          <w:p w14:paraId="4E762EE5" w14:textId="26F1F6B0" w:rsidR="00295452" w:rsidRDefault="00295452" w:rsidP="00530C19">
            <w:pPr>
              <w:jc w:val="both"/>
              <w:rPr>
                <w:rFonts w:ascii="Arial" w:hAnsi="Arial" w:cs="Arial"/>
                <w:sz w:val="24"/>
              </w:rPr>
            </w:pPr>
          </w:p>
          <w:p w14:paraId="2B917C34" w14:textId="0756AE8F" w:rsidR="00295452" w:rsidRDefault="00295452" w:rsidP="00530C19">
            <w:pPr>
              <w:jc w:val="both"/>
              <w:rPr>
                <w:rFonts w:ascii="Arial" w:hAnsi="Arial" w:cs="Arial"/>
                <w:sz w:val="24"/>
              </w:rPr>
            </w:pPr>
          </w:p>
          <w:p w14:paraId="23736B5C" w14:textId="1DEA5FDF" w:rsidR="00295452" w:rsidRDefault="00295452" w:rsidP="00530C19">
            <w:pPr>
              <w:jc w:val="both"/>
              <w:rPr>
                <w:rFonts w:ascii="Arial" w:hAnsi="Arial" w:cs="Arial"/>
                <w:sz w:val="24"/>
              </w:rPr>
            </w:pPr>
          </w:p>
          <w:p w14:paraId="436CB15F" w14:textId="3BDD6EAA" w:rsidR="00295452" w:rsidRDefault="00295452" w:rsidP="00530C19">
            <w:pPr>
              <w:jc w:val="both"/>
              <w:rPr>
                <w:rFonts w:ascii="Arial" w:hAnsi="Arial" w:cs="Arial"/>
                <w:sz w:val="24"/>
              </w:rPr>
            </w:pPr>
          </w:p>
          <w:p w14:paraId="38EB51D7" w14:textId="36AF7607" w:rsidR="00295452" w:rsidRDefault="00295452" w:rsidP="00530C19">
            <w:pPr>
              <w:jc w:val="both"/>
              <w:rPr>
                <w:rFonts w:ascii="Arial" w:hAnsi="Arial" w:cs="Arial"/>
                <w:sz w:val="24"/>
              </w:rPr>
            </w:pPr>
          </w:p>
          <w:p w14:paraId="044FCAFB" w14:textId="042AA9E6" w:rsidR="00295452" w:rsidRDefault="00295452" w:rsidP="00530C19">
            <w:pPr>
              <w:jc w:val="both"/>
              <w:rPr>
                <w:rFonts w:ascii="Arial" w:hAnsi="Arial" w:cs="Arial"/>
                <w:sz w:val="24"/>
              </w:rPr>
            </w:pPr>
          </w:p>
          <w:p w14:paraId="73C47E32" w14:textId="542A335B" w:rsidR="00295452" w:rsidRDefault="00295452" w:rsidP="00530C19">
            <w:pPr>
              <w:jc w:val="both"/>
              <w:rPr>
                <w:rFonts w:ascii="Arial" w:hAnsi="Arial" w:cs="Arial"/>
                <w:sz w:val="24"/>
              </w:rPr>
            </w:pPr>
          </w:p>
          <w:p w14:paraId="7201192D" w14:textId="2F2FBB80" w:rsidR="00295452" w:rsidRDefault="00295452" w:rsidP="00530C19">
            <w:pPr>
              <w:jc w:val="both"/>
              <w:rPr>
                <w:rFonts w:ascii="Arial" w:hAnsi="Arial" w:cs="Arial"/>
                <w:sz w:val="24"/>
              </w:rPr>
            </w:pPr>
          </w:p>
          <w:p w14:paraId="5538E38F" w14:textId="027EB86C" w:rsidR="00295452" w:rsidRDefault="00295452" w:rsidP="00530C19">
            <w:pPr>
              <w:jc w:val="both"/>
              <w:rPr>
                <w:rFonts w:ascii="Arial" w:hAnsi="Arial" w:cs="Arial"/>
                <w:sz w:val="24"/>
              </w:rPr>
            </w:pPr>
          </w:p>
          <w:p w14:paraId="5275C80C" w14:textId="0B8852C6" w:rsidR="00295452" w:rsidRDefault="00295452" w:rsidP="00530C19">
            <w:pPr>
              <w:jc w:val="both"/>
              <w:rPr>
                <w:rFonts w:ascii="Arial" w:hAnsi="Arial" w:cs="Arial"/>
                <w:sz w:val="24"/>
              </w:rPr>
            </w:pPr>
          </w:p>
          <w:p w14:paraId="07DC3B51" w14:textId="26DC4D8C" w:rsidR="00295452" w:rsidRDefault="00295452" w:rsidP="00530C19">
            <w:pPr>
              <w:jc w:val="both"/>
              <w:rPr>
                <w:rFonts w:ascii="Arial" w:hAnsi="Arial" w:cs="Arial"/>
                <w:sz w:val="24"/>
              </w:rPr>
            </w:pPr>
          </w:p>
          <w:p w14:paraId="6C97B365" w14:textId="12CA2B18" w:rsidR="00295452" w:rsidRDefault="00295452" w:rsidP="00530C19">
            <w:pPr>
              <w:jc w:val="both"/>
              <w:rPr>
                <w:rFonts w:ascii="Arial" w:hAnsi="Arial" w:cs="Arial"/>
                <w:sz w:val="24"/>
              </w:rPr>
            </w:pPr>
          </w:p>
          <w:p w14:paraId="70E405DE" w14:textId="76C200CB" w:rsidR="00295452" w:rsidRDefault="00295452" w:rsidP="00530C19">
            <w:pPr>
              <w:jc w:val="both"/>
              <w:rPr>
                <w:rFonts w:ascii="Arial" w:hAnsi="Arial" w:cs="Arial"/>
                <w:sz w:val="24"/>
              </w:rPr>
            </w:pPr>
          </w:p>
          <w:p w14:paraId="0BA5625C" w14:textId="62BB2B93" w:rsidR="00295452" w:rsidRDefault="00295452" w:rsidP="00530C19">
            <w:pPr>
              <w:jc w:val="both"/>
              <w:rPr>
                <w:rFonts w:ascii="Arial" w:hAnsi="Arial" w:cs="Arial"/>
                <w:sz w:val="24"/>
              </w:rPr>
            </w:pPr>
          </w:p>
          <w:p w14:paraId="4183A388" w14:textId="72257F48" w:rsidR="00295452" w:rsidRDefault="00295452" w:rsidP="00530C19">
            <w:pPr>
              <w:jc w:val="both"/>
              <w:rPr>
                <w:rFonts w:ascii="Arial" w:hAnsi="Arial" w:cs="Arial"/>
                <w:sz w:val="24"/>
              </w:rPr>
            </w:pPr>
          </w:p>
          <w:p w14:paraId="2390D60F" w14:textId="0670BC51" w:rsidR="00295452" w:rsidRDefault="00295452" w:rsidP="00530C19">
            <w:pPr>
              <w:jc w:val="both"/>
              <w:rPr>
                <w:rFonts w:ascii="Arial" w:hAnsi="Arial" w:cs="Arial"/>
                <w:sz w:val="24"/>
              </w:rPr>
            </w:pPr>
          </w:p>
          <w:p w14:paraId="2DF5321D" w14:textId="32904F56" w:rsidR="00295452" w:rsidRDefault="00295452" w:rsidP="00530C19">
            <w:pPr>
              <w:jc w:val="both"/>
              <w:rPr>
                <w:rFonts w:ascii="Arial" w:hAnsi="Arial" w:cs="Arial"/>
                <w:sz w:val="24"/>
              </w:rPr>
            </w:pPr>
          </w:p>
          <w:p w14:paraId="6540770C" w14:textId="7523FB45" w:rsidR="00295452" w:rsidRDefault="00295452" w:rsidP="00530C19">
            <w:pPr>
              <w:jc w:val="both"/>
              <w:rPr>
                <w:rFonts w:ascii="Arial" w:hAnsi="Arial" w:cs="Arial"/>
                <w:sz w:val="24"/>
              </w:rPr>
            </w:pPr>
          </w:p>
          <w:p w14:paraId="006B8633" w14:textId="3807F705" w:rsidR="00295452" w:rsidRDefault="00295452" w:rsidP="00530C19">
            <w:pPr>
              <w:jc w:val="both"/>
              <w:rPr>
                <w:rFonts w:ascii="Arial" w:hAnsi="Arial" w:cs="Arial"/>
                <w:sz w:val="24"/>
              </w:rPr>
            </w:pPr>
          </w:p>
          <w:p w14:paraId="249C3FE7" w14:textId="194C51FE" w:rsidR="00295452" w:rsidRDefault="00295452" w:rsidP="00530C19">
            <w:pPr>
              <w:jc w:val="both"/>
              <w:rPr>
                <w:rFonts w:ascii="Arial" w:hAnsi="Arial" w:cs="Arial"/>
                <w:sz w:val="24"/>
              </w:rPr>
            </w:pPr>
          </w:p>
          <w:p w14:paraId="1FF24548" w14:textId="2C58A3FD" w:rsidR="00295452" w:rsidRDefault="00295452" w:rsidP="00530C19">
            <w:pPr>
              <w:jc w:val="both"/>
              <w:rPr>
                <w:rFonts w:ascii="Arial" w:hAnsi="Arial" w:cs="Arial"/>
                <w:sz w:val="24"/>
              </w:rPr>
            </w:pPr>
          </w:p>
          <w:p w14:paraId="5F97E9AA" w14:textId="61EC06E8" w:rsidR="00295452" w:rsidRDefault="00295452" w:rsidP="00530C19">
            <w:pPr>
              <w:jc w:val="both"/>
              <w:rPr>
                <w:rFonts w:ascii="Arial" w:hAnsi="Arial" w:cs="Arial"/>
                <w:sz w:val="24"/>
              </w:rPr>
            </w:pPr>
          </w:p>
          <w:p w14:paraId="36D1DE8E" w14:textId="2C53B31F" w:rsidR="00295452" w:rsidRDefault="00295452" w:rsidP="00530C19">
            <w:pPr>
              <w:jc w:val="both"/>
              <w:rPr>
                <w:rFonts w:ascii="Arial" w:hAnsi="Arial" w:cs="Arial"/>
                <w:sz w:val="24"/>
              </w:rPr>
            </w:pPr>
          </w:p>
          <w:p w14:paraId="220B7552" w14:textId="2CA08216" w:rsidR="00295452" w:rsidRDefault="00295452" w:rsidP="00530C19">
            <w:pPr>
              <w:jc w:val="both"/>
              <w:rPr>
                <w:rFonts w:ascii="Arial" w:hAnsi="Arial" w:cs="Arial"/>
                <w:sz w:val="24"/>
              </w:rPr>
            </w:pPr>
          </w:p>
          <w:p w14:paraId="24AB61C8" w14:textId="5DD2FCB0" w:rsidR="00295452" w:rsidRDefault="00295452" w:rsidP="00530C19">
            <w:pPr>
              <w:jc w:val="both"/>
              <w:rPr>
                <w:rFonts w:ascii="Arial" w:hAnsi="Arial" w:cs="Arial"/>
                <w:sz w:val="24"/>
              </w:rPr>
            </w:pPr>
          </w:p>
          <w:p w14:paraId="0234CD46" w14:textId="3EB3A808" w:rsidR="00295452" w:rsidRDefault="00295452" w:rsidP="00530C19">
            <w:pPr>
              <w:jc w:val="both"/>
              <w:rPr>
                <w:rFonts w:ascii="Arial" w:hAnsi="Arial" w:cs="Arial"/>
                <w:sz w:val="24"/>
              </w:rPr>
            </w:pPr>
          </w:p>
          <w:p w14:paraId="0D421E31" w14:textId="77777777" w:rsidR="00295452" w:rsidRPr="00530C19" w:rsidRDefault="00295452" w:rsidP="00530C19">
            <w:pPr>
              <w:jc w:val="both"/>
              <w:rPr>
                <w:rFonts w:ascii="Arial" w:hAnsi="Arial" w:cs="Arial"/>
                <w:sz w:val="24"/>
              </w:rPr>
            </w:pPr>
          </w:p>
          <w:p w14:paraId="110AD3C7" w14:textId="77777777" w:rsidR="00530C19" w:rsidRPr="00530C19" w:rsidRDefault="00530C19" w:rsidP="00530C19">
            <w:pPr>
              <w:rPr>
                <w:rFonts w:ascii="Arial" w:hAnsi="Arial" w:cs="Arial"/>
                <w:sz w:val="24"/>
              </w:rPr>
            </w:pPr>
          </w:p>
        </w:tc>
      </w:tr>
    </w:tbl>
    <w:p w14:paraId="159B9380" w14:textId="07EEEE21" w:rsidR="00530C19" w:rsidRDefault="00530C19"/>
    <w:tbl>
      <w:tblPr>
        <w:tblStyle w:val="TableGrid"/>
        <w:tblW w:w="0" w:type="auto"/>
        <w:tblLook w:val="04A0" w:firstRow="1" w:lastRow="0" w:firstColumn="1" w:lastColumn="0" w:noHBand="0" w:noVBand="1"/>
      </w:tblPr>
      <w:tblGrid>
        <w:gridCol w:w="9016"/>
      </w:tblGrid>
      <w:tr w:rsidR="00530C19" w14:paraId="3205630B" w14:textId="77777777" w:rsidTr="00530C19">
        <w:tc>
          <w:tcPr>
            <w:tcW w:w="9016" w:type="dxa"/>
          </w:tcPr>
          <w:p w14:paraId="0C7650C6" w14:textId="650DE3F2" w:rsidR="00530C19" w:rsidRPr="00BF1365" w:rsidRDefault="00282B50" w:rsidP="00530C19">
            <w:pPr>
              <w:pStyle w:val="ListParagraph"/>
              <w:ind w:left="0" w:firstLine="0"/>
              <w:rPr>
                <w:rFonts w:ascii="Arial" w:hAnsi="Arial" w:cs="Arial"/>
                <w:b/>
                <w:color w:val="auto"/>
              </w:rPr>
            </w:pPr>
            <w:r w:rsidRPr="00BF1365">
              <w:rPr>
                <w:rFonts w:ascii="Arial" w:hAnsi="Arial" w:cs="Arial"/>
                <w:b/>
                <w:color w:val="auto"/>
              </w:rPr>
              <w:t xml:space="preserve">2.  </w:t>
            </w:r>
            <w:r w:rsidR="00530C19" w:rsidRPr="00BF1365">
              <w:rPr>
                <w:rFonts w:ascii="Arial" w:hAnsi="Arial" w:cs="Arial"/>
                <w:b/>
                <w:color w:val="auto"/>
              </w:rPr>
              <w:t>Are there economies of scale in IT</w:t>
            </w:r>
            <w:r w:rsidR="00A2693B" w:rsidRPr="00BF1365">
              <w:rPr>
                <w:rFonts w:ascii="Arial" w:hAnsi="Arial" w:cs="Arial"/>
                <w:b/>
                <w:color w:val="auto"/>
              </w:rPr>
              <w:t>E</w:t>
            </w:r>
            <w:r w:rsidR="00530C19" w:rsidRPr="00BF1365">
              <w:rPr>
                <w:rFonts w:ascii="Arial" w:hAnsi="Arial" w:cs="Arial"/>
                <w:b/>
                <w:color w:val="auto"/>
              </w:rPr>
              <w:t xml:space="preserve"> provision</w:t>
            </w:r>
            <w:r w:rsidR="002C0F9B" w:rsidRPr="00BF1365">
              <w:rPr>
                <w:rFonts w:ascii="Arial" w:hAnsi="Arial" w:cs="Arial"/>
                <w:b/>
                <w:color w:val="auto"/>
              </w:rPr>
              <w:t>?</w:t>
            </w:r>
          </w:p>
        </w:tc>
      </w:tr>
      <w:tr w:rsidR="00530C19" w14:paraId="328E8D92" w14:textId="77777777" w:rsidTr="00917C54">
        <w:trPr>
          <w:trHeight w:hRule="exact" w:val="10773"/>
        </w:trPr>
        <w:tc>
          <w:tcPr>
            <w:tcW w:w="9016" w:type="dxa"/>
          </w:tcPr>
          <w:p w14:paraId="68AC8AC8" w14:textId="77777777" w:rsidR="008D43CE" w:rsidRDefault="008D43CE" w:rsidP="00530C19">
            <w:pPr>
              <w:rPr>
                <w:rFonts w:ascii="Arial" w:hAnsi="Arial" w:cs="Arial"/>
                <w:sz w:val="20"/>
                <w:szCs w:val="20"/>
              </w:rPr>
            </w:pPr>
          </w:p>
          <w:p w14:paraId="6522C966" w14:textId="275D58C8" w:rsidR="00530C19" w:rsidRDefault="00F71819" w:rsidP="00530C19">
            <w:pPr>
              <w:rPr>
                <w:rFonts w:ascii="Arial" w:hAnsi="Arial" w:cs="Arial"/>
                <w:sz w:val="20"/>
                <w:szCs w:val="20"/>
              </w:rPr>
            </w:pPr>
            <w:r>
              <w:rPr>
                <w:rFonts w:ascii="Arial" w:hAnsi="Arial" w:cs="Arial"/>
                <w:sz w:val="20"/>
                <w:szCs w:val="20"/>
              </w:rPr>
              <w:t xml:space="preserve">One of the strengths of the current system is its ability to provide ITE to scale. Each year, the sector </w:t>
            </w:r>
            <w:r w:rsidR="00582AAD">
              <w:rPr>
                <w:rFonts w:ascii="Arial" w:hAnsi="Arial" w:cs="Arial"/>
                <w:sz w:val="20"/>
                <w:szCs w:val="20"/>
              </w:rPr>
              <w:t>provides ITE</w:t>
            </w:r>
            <w:r w:rsidR="00C844A5">
              <w:rPr>
                <w:rFonts w:ascii="Arial" w:hAnsi="Arial" w:cs="Arial"/>
                <w:sz w:val="20"/>
                <w:szCs w:val="20"/>
              </w:rPr>
              <w:t xml:space="preserve"> for some </w:t>
            </w:r>
            <w:r>
              <w:rPr>
                <w:rFonts w:ascii="Arial" w:hAnsi="Arial" w:cs="Arial"/>
                <w:sz w:val="20"/>
                <w:szCs w:val="20"/>
              </w:rPr>
              <w:t xml:space="preserve">30,000 </w:t>
            </w:r>
            <w:r w:rsidR="00C844A5">
              <w:rPr>
                <w:rFonts w:ascii="Arial" w:hAnsi="Arial" w:cs="Arial"/>
                <w:sz w:val="20"/>
                <w:szCs w:val="20"/>
              </w:rPr>
              <w:t>prospective teachers</w:t>
            </w:r>
            <w:r>
              <w:rPr>
                <w:rFonts w:ascii="Arial" w:hAnsi="Arial" w:cs="Arial"/>
                <w:sz w:val="20"/>
                <w:szCs w:val="20"/>
              </w:rPr>
              <w:t xml:space="preserve"> who are recruited </w:t>
            </w:r>
            <w:r w:rsidR="00CC3F02">
              <w:rPr>
                <w:rFonts w:ascii="Arial" w:hAnsi="Arial" w:cs="Arial"/>
                <w:sz w:val="20"/>
                <w:szCs w:val="20"/>
              </w:rPr>
              <w:t>from</w:t>
            </w:r>
            <w:r>
              <w:rPr>
                <w:rFonts w:ascii="Arial" w:hAnsi="Arial" w:cs="Arial"/>
                <w:sz w:val="20"/>
                <w:szCs w:val="20"/>
              </w:rPr>
              <w:t xml:space="preserve"> a range of </w:t>
            </w:r>
            <w:r w:rsidR="00CC3F02">
              <w:rPr>
                <w:rFonts w:ascii="Arial" w:hAnsi="Arial" w:cs="Arial"/>
                <w:sz w:val="20"/>
                <w:szCs w:val="20"/>
              </w:rPr>
              <w:t>backgrounds</w:t>
            </w:r>
            <w:r>
              <w:rPr>
                <w:rFonts w:ascii="Arial" w:hAnsi="Arial" w:cs="Arial"/>
                <w:sz w:val="20"/>
                <w:szCs w:val="20"/>
              </w:rPr>
              <w:t xml:space="preserve"> for work </w:t>
            </w:r>
            <w:r w:rsidR="0006258D">
              <w:rPr>
                <w:rFonts w:ascii="Arial" w:hAnsi="Arial" w:cs="Arial"/>
                <w:sz w:val="20"/>
                <w:szCs w:val="20"/>
              </w:rPr>
              <w:t>i</w:t>
            </w:r>
            <w:r w:rsidR="00CC3F02">
              <w:rPr>
                <w:rFonts w:ascii="Arial" w:hAnsi="Arial" w:cs="Arial"/>
                <w:sz w:val="20"/>
                <w:szCs w:val="20"/>
              </w:rPr>
              <w:t>n a wide variety</w:t>
            </w:r>
            <w:r>
              <w:rPr>
                <w:rFonts w:ascii="Arial" w:hAnsi="Arial" w:cs="Arial"/>
                <w:sz w:val="20"/>
                <w:szCs w:val="20"/>
              </w:rPr>
              <w:t xml:space="preserve"> of schools. The HE sector, in particular, </w:t>
            </w:r>
            <w:r w:rsidR="0006258D">
              <w:rPr>
                <w:rFonts w:ascii="Arial" w:hAnsi="Arial" w:cs="Arial"/>
                <w:sz w:val="20"/>
                <w:szCs w:val="20"/>
              </w:rPr>
              <w:t xml:space="preserve">is adept at providing ITE for large numbers of ITE students, including some 6,000 </w:t>
            </w:r>
            <w:r w:rsidR="00CC3F02">
              <w:rPr>
                <w:rFonts w:ascii="Arial" w:hAnsi="Arial" w:cs="Arial"/>
                <w:sz w:val="20"/>
                <w:szCs w:val="20"/>
              </w:rPr>
              <w:t>undergraduates</w:t>
            </w:r>
            <w:r w:rsidR="0006258D">
              <w:rPr>
                <w:rFonts w:ascii="Arial" w:hAnsi="Arial" w:cs="Arial"/>
                <w:sz w:val="20"/>
                <w:szCs w:val="20"/>
              </w:rPr>
              <w:t xml:space="preserve"> each year and some </w:t>
            </w:r>
            <w:r w:rsidR="00C844A5">
              <w:rPr>
                <w:rFonts w:ascii="Arial" w:hAnsi="Arial" w:cs="Arial"/>
                <w:sz w:val="20"/>
                <w:szCs w:val="20"/>
              </w:rPr>
              <w:t>14</w:t>
            </w:r>
            <w:r w:rsidR="0006258D">
              <w:rPr>
                <w:rFonts w:ascii="Arial" w:hAnsi="Arial" w:cs="Arial"/>
                <w:sz w:val="20"/>
                <w:szCs w:val="20"/>
              </w:rPr>
              <w:t>,000 postgraduate (core and Schoo</w:t>
            </w:r>
            <w:r w:rsidR="00CC3F02">
              <w:rPr>
                <w:rFonts w:ascii="Arial" w:hAnsi="Arial" w:cs="Arial"/>
                <w:sz w:val="20"/>
                <w:szCs w:val="20"/>
              </w:rPr>
              <w:t>l</w:t>
            </w:r>
            <w:r w:rsidR="0006258D">
              <w:rPr>
                <w:rFonts w:ascii="Arial" w:hAnsi="Arial" w:cs="Arial"/>
                <w:sz w:val="20"/>
                <w:szCs w:val="20"/>
              </w:rPr>
              <w:t xml:space="preserve"> Direct) students, often recruited from their own undergraduate cohorts. </w:t>
            </w:r>
            <w:r w:rsidR="00535BFA">
              <w:rPr>
                <w:rFonts w:ascii="Arial" w:hAnsi="Arial" w:cs="Arial"/>
                <w:sz w:val="20"/>
                <w:szCs w:val="20"/>
              </w:rPr>
              <w:t xml:space="preserve">HEIs are involved in all forms of </w:t>
            </w:r>
            <w:r w:rsidR="00582AAD">
              <w:rPr>
                <w:rFonts w:ascii="Arial" w:hAnsi="Arial" w:cs="Arial"/>
                <w:sz w:val="20"/>
                <w:szCs w:val="20"/>
              </w:rPr>
              <w:t>initial</w:t>
            </w:r>
            <w:r w:rsidR="00535BFA">
              <w:rPr>
                <w:rFonts w:ascii="Arial" w:hAnsi="Arial" w:cs="Arial"/>
                <w:sz w:val="20"/>
                <w:szCs w:val="20"/>
              </w:rPr>
              <w:t xml:space="preserve"> teacher </w:t>
            </w:r>
            <w:r w:rsidR="00582AAD">
              <w:rPr>
                <w:rFonts w:ascii="Arial" w:hAnsi="Arial" w:cs="Arial"/>
                <w:sz w:val="20"/>
                <w:szCs w:val="20"/>
              </w:rPr>
              <w:t>education</w:t>
            </w:r>
            <w:r w:rsidR="00535BFA">
              <w:rPr>
                <w:rFonts w:ascii="Arial" w:hAnsi="Arial" w:cs="Arial"/>
                <w:sz w:val="20"/>
                <w:szCs w:val="20"/>
              </w:rPr>
              <w:t>, including that provided through School Direct, School Direct Salaried, SCITTs, apprenticeships and Teach First.</w:t>
            </w:r>
            <w:r w:rsidR="00506024">
              <w:rPr>
                <w:rFonts w:ascii="Arial" w:hAnsi="Arial" w:cs="Arial"/>
                <w:sz w:val="20"/>
                <w:szCs w:val="20"/>
              </w:rPr>
              <w:t xml:space="preserve"> Much of the ITE provided through university is </w:t>
            </w:r>
            <w:r w:rsidR="00582AAD">
              <w:rPr>
                <w:rFonts w:ascii="Arial" w:hAnsi="Arial" w:cs="Arial"/>
                <w:sz w:val="20"/>
                <w:szCs w:val="20"/>
              </w:rPr>
              <w:t>at master’s</w:t>
            </w:r>
            <w:r w:rsidR="00506024">
              <w:rPr>
                <w:rFonts w:ascii="Arial" w:hAnsi="Arial" w:cs="Arial"/>
                <w:sz w:val="20"/>
                <w:szCs w:val="20"/>
              </w:rPr>
              <w:t xml:space="preserve"> degree level, providing a platform for new </w:t>
            </w:r>
            <w:r w:rsidR="00582AAD">
              <w:rPr>
                <w:rFonts w:ascii="Arial" w:hAnsi="Arial" w:cs="Arial"/>
                <w:sz w:val="20"/>
                <w:szCs w:val="20"/>
              </w:rPr>
              <w:t>teachers</w:t>
            </w:r>
            <w:r w:rsidR="00506024">
              <w:rPr>
                <w:rFonts w:ascii="Arial" w:hAnsi="Arial" w:cs="Arial"/>
                <w:sz w:val="20"/>
                <w:szCs w:val="20"/>
              </w:rPr>
              <w:t xml:space="preserve"> to progress towards full master’s </w:t>
            </w:r>
            <w:r w:rsidR="00582AAD">
              <w:rPr>
                <w:rFonts w:ascii="Arial" w:hAnsi="Arial" w:cs="Arial"/>
                <w:sz w:val="20"/>
                <w:szCs w:val="20"/>
              </w:rPr>
              <w:t>qualifications</w:t>
            </w:r>
            <w:r w:rsidR="00506024">
              <w:rPr>
                <w:rFonts w:ascii="Arial" w:hAnsi="Arial" w:cs="Arial"/>
                <w:sz w:val="20"/>
                <w:szCs w:val="20"/>
              </w:rPr>
              <w:t>, something that has been shown to have a positive impact on their performance</w:t>
            </w:r>
            <w:r w:rsidR="00F962D4">
              <w:rPr>
                <w:rStyle w:val="FootnoteReference"/>
                <w:rFonts w:ascii="Arial" w:hAnsi="Arial" w:cs="Arial"/>
                <w:sz w:val="20"/>
                <w:szCs w:val="20"/>
              </w:rPr>
              <w:footnoteReference w:id="5"/>
            </w:r>
            <w:r w:rsidR="00506024">
              <w:rPr>
                <w:rFonts w:ascii="Arial" w:hAnsi="Arial" w:cs="Arial"/>
                <w:sz w:val="20"/>
                <w:szCs w:val="20"/>
              </w:rPr>
              <w:t>.</w:t>
            </w:r>
          </w:p>
          <w:p w14:paraId="029544BF" w14:textId="77777777" w:rsidR="0006258D" w:rsidRDefault="0006258D" w:rsidP="00530C19">
            <w:pPr>
              <w:rPr>
                <w:rFonts w:ascii="Arial" w:hAnsi="Arial" w:cs="Arial"/>
                <w:sz w:val="20"/>
                <w:szCs w:val="20"/>
              </w:rPr>
            </w:pPr>
          </w:p>
          <w:p w14:paraId="0BC6B580" w14:textId="5F7CB4F5" w:rsidR="00B23FBE" w:rsidRDefault="0006258D" w:rsidP="00B23FBE">
            <w:pPr>
              <w:rPr>
                <w:rFonts w:ascii="Arial" w:hAnsi="Arial" w:cs="Arial"/>
                <w:sz w:val="20"/>
                <w:szCs w:val="20"/>
              </w:rPr>
            </w:pPr>
            <w:r>
              <w:rPr>
                <w:rFonts w:ascii="Arial" w:hAnsi="Arial" w:cs="Arial"/>
                <w:sz w:val="20"/>
                <w:szCs w:val="20"/>
              </w:rPr>
              <w:t xml:space="preserve">We are not aware of any significant economies of scale in terms of cost and the number of student teachers recruited. ITE providers receive fee income of £9,250 per ITE student, although actual costs, particularly in some subjects, are likely to be higher. </w:t>
            </w:r>
            <w:r w:rsidR="00CC3F02">
              <w:rPr>
                <w:rFonts w:ascii="Arial" w:hAnsi="Arial" w:cs="Arial"/>
                <w:sz w:val="20"/>
                <w:szCs w:val="20"/>
              </w:rPr>
              <w:t>Both large and small providers are providing ITE for this amount of money while operating w</w:t>
            </w:r>
            <w:r w:rsidR="003E283C">
              <w:rPr>
                <w:rFonts w:ascii="Arial" w:hAnsi="Arial" w:cs="Arial"/>
                <w:sz w:val="20"/>
                <w:szCs w:val="20"/>
              </w:rPr>
              <w:t>ithin budget</w:t>
            </w:r>
            <w:r w:rsidR="00CC3F02">
              <w:rPr>
                <w:rFonts w:ascii="Arial" w:hAnsi="Arial" w:cs="Arial"/>
                <w:sz w:val="20"/>
                <w:szCs w:val="20"/>
              </w:rPr>
              <w:t>. There is no evidence to suggest that subsuming some existing providers within larger partnerships would lead to more cost-effective delivery</w:t>
            </w:r>
            <w:r w:rsidR="00B23FBE">
              <w:rPr>
                <w:rFonts w:ascii="Arial" w:hAnsi="Arial" w:cs="Arial"/>
                <w:sz w:val="20"/>
                <w:szCs w:val="20"/>
              </w:rPr>
              <w:t xml:space="preserve">, although, particularly for secondary student teachers, the development of subject specific pedagogy might be facilitated through larger cohorts. </w:t>
            </w:r>
            <w:r w:rsidR="000709FF">
              <w:rPr>
                <w:rFonts w:ascii="Arial" w:hAnsi="Arial" w:cs="Arial"/>
                <w:sz w:val="20"/>
                <w:szCs w:val="20"/>
              </w:rPr>
              <w:t>The support that the HEI sector gives to some smaller scale provision</w:t>
            </w:r>
            <w:r w:rsidR="009C126F">
              <w:rPr>
                <w:rFonts w:ascii="Arial" w:hAnsi="Arial" w:cs="Arial"/>
                <w:sz w:val="20"/>
                <w:szCs w:val="20"/>
              </w:rPr>
              <w:t>,</w:t>
            </w:r>
            <w:r w:rsidR="000709FF">
              <w:rPr>
                <w:rFonts w:ascii="Arial" w:hAnsi="Arial" w:cs="Arial"/>
                <w:sz w:val="20"/>
                <w:szCs w:val="20"/>
              </w:rPr>
              <w:t xml:space="preserve"> such as School Direct</w:t>
            </w:r>
            <w:r w:rsidR="009C126F">
              <w:rPr>
                <w:rFonts w:ascii="Arial" w:hAnsi="Arial" w:cs="Arial"/>
                <w:sz w:val="20"/>
                <w:szCs w:val="20"/>
              </w:rPr>
              <w:t>,</w:t>
            </w:r>
            <w:r w:rsidR="000709FF">
              <w:rPr>
                <w:rFonts w:ascii="Arial" w:hAnsi="Arial" w:cs="Arial"/>
                <w:sz w:val="20"/>
                <w:szCs w:val="20"/>
              </w:rPr>
              <w:t xml:space="preserve"> allows it in many cases to be both financially and educationally sustainable. Despite the concerns we have about the way School Direct was originally i</w:t>
            </w:r>
            <w:r w:rsidR="00B73509">
              <w:rPr>
                <w:rFonts w:ascii="Arial" w:hAnsi="Arial" w:cs="Arial"/>
                <w:sz w:val="20"/>
                <w:szCs w:val="20"/>
              </w:rPr>
              <w:t>ntroduced</w:t>
            </w:r>
            <w:r w:rsidR="000709FF">
              <w:rPr>
                <w:rFonts w:ascii="Arial" w:hAnsi="Arial" w:cs="Arial"/>
                <w:sz w:val="20"/>
                <w:szCs w:val="20"/>
              </w:rPr>
              <w:t>, it has in some cases</w:t>
            </w:r>
            <w:r w:rsidR="002E30F0">
              <w:rPr>
                <w:rFonts w:ascii="Arial" w:hAnsi="Arial" w:cs="Arial"/>
                <w:sz w:val="20"/>
                <w:szCs w:val="20"/>
              </w:rPr>
              <w:t xml:space="preserve"> </w:t>
            </w:r>
            <w:r w:rsidR="00B568A3">
              <w:rPr>
                <w:rFonts w:ascii="Arial" w:hAnsi="Arial" w:cs="Arial"/>
                <w:sz w:val="20"/>
                <w:szCs w:val="20"/>
              </w:rPr>
              <w:t xml:space="preserve">been consistent with </w:t>
            </w:r>
            <w:r w:rsidR="00492E3C">
              <w:rPr>
                <w:rFonts w:ascii="Arial" w:hAnsi="Arial" w:cs="Arial"/>
                <w:sz w:val="20"/>
                <w:szCs w:val="20"/>
              </w:rPr>
              <w:t xml:space="preserve">strong </w:t>
            </w:r>
            <w:r w:rsidR="000709FF">
              <w:rPr>
                <w:rFonts w:ascii="Arial" w:hAnsi="Arial" w:cs="Arial"/>
                <w:sz w:val="20"/>
                <w:szCs w:val="20"/>
              </w:rPr>
              <w:t xml:space="preserve">and effective ITE partnerships. </w:t>
            </w:r>
          </w:p>
          <w:p w14:paraId="2C98FC1A" w14:textId="77777777" w:rsidR="00B23FBE" w:rsidRDefault="00B23FBE" w:rsidP="00B23FBE">
            <w:pPr>
              <w:rPr>
                <w:rFonts w:ascii="Arial" w:hAnsi="Arial" w:cs="Arial"/>
                <w:sz w:val="20"/>
                <w:szCs w:val="20"/>
              </w:rPr>
            </w:pPr>
          </w:p>
          <w:p w14:paraId="13B56FCB" w14:textId="75421278" w:rsidR="0006258D" w:rsidRPr="00F71819" w:rsidRDefault="00B23FBE" w:rsidP="00B23FBE">
            <w:pPr>
              <w:rPr>
                <w:rFonts w:ascii="Arial" w:hAnsi="Arial" w:cs="Arial"/>
                <w:sz w:val="20"/>
                <w:szCs w:val="20"/>
              </w:rPr>
            </w:pPr>
            <w:r>
              <w:rPr>
                <w:rFonts w:ascii="Arial" w:hAnsi="Arial" w:cs="Arial"/>
                <w:sz w:val="20"/>
                <w:szCs w:val="20"/>
              </w:rPr>
              <w:t>A mixed market of different types and size of provider allows choice for both prospective teachers and f</w:t>
            </w:r>
            <w:r w:rsidR="00CC3F02">
              <w:rPr>
                <w:rFonts w:ascii="Arial" w:hAnsi="Arial" w:cs="Arial"/>
                <w:sz w:val="20"/>
                <w:szCs w:val="20"/>
              </w:rPr>
              <w:t>or schools in terms of the ki</w:t>
            </w:r>
            <w:r w:rsidR="00535BFA">
              <w:rPr>
                <w:rFonts w:ascii="Arial" w:hAnsi="Arial" w:cs="Arial"/>
                <w:sz w:val="20"/>
                <w:szCs w:val="20"/>
              </w:rPr>
              <w:t>n</w:t>
            </w:r>
            <w:r w:rsidR="00CC3F02">
              <w:rPr>
                <w:rFonts w:ascii="Arial" w:hAnsi="Arial" w:cs="Arial"/>
                <w:sz w:val="20"/>
                <w:szCs w:val="20"/>
              </w:rPr>
              <w:t xml:space="preserve">d of provider they choose to </w:t>
            </w:r>
            <w:r w:rsidR="003E283C">
              <w:rPr>
                <w:rFonts w:ascii="Arial" w:hAnsi="Arial" w:cs="Arial"/>
                <w:sz w:val="20"/>
                <w:szCs w:val="20"/>
              </w:rPr>
              <w:t xml:space="preserve">work </w:t>
            </w:r>
            <w:r w:rsidR="00535BFA">
              <w:rPr>
                <w:rFonts w:ascii="Arial" w:hAnsi="Arial" w:cs="Arial"/>
                <w:sz w:val="20"/>
                <w:szCs w:val="20"/>
              </w:rPr>
              <w:t>with</w:t>
            </w:r>
            <w:r w:rsidR="00CC3F02">
              <w:rPr>
                <w:rFonts w:ascii="Arial" w:hAnsi="Arial" w:cs="Arial"/>
                <w:sz w:val="20"/>
                <w:szCs w:val="20"/>
              </w:rPr>
              <w:t xml:space="preserve">. </w:t>
            </w:r>
            <w:r>
              <w:rPr>
                <w:rFonts w:ascii="Arial" w:hAnsi="Arial" w:cs="Arial"/>
                <w:sz w:val="20"/>
                <w:szCs w:val="20"/>
              </w:rPr>
              <w:t>The advantages of this should not be overlooked.</w:t>
            </w:r>
          </w:p>
        </w:tc>
      </w:tr>
    </w:tbl>
    <w:p w14:paraId="0721C311" w14:textId="35450E09" w:rsidR="00A2693B" w:rsidRDefault="00A2693B"/>
    <w:p w14:paraId="4AC40F91" w14:textId="77777777" w:rsidR="00A2693B" w:rsidRDefault="00A2693B">
      <w:r>
        <w:lastRenderedPageBreak/>
        <w:br w:type="page"/>
      </w:r>
    </w:p>
    <w:tbl>
      <w:tblPr>
        <w:tblStyle w:val="TableGrid"/>
        <w:tblW w:w="0" w:type="auto"/>
        <w:tblLook w:val="04A0" w:firstRow="1" w:lastRow="0" w:firstColumn="1" w:lastColumn="0" w:noHBand="0" w:noVBand="1"/>
      </w:tblPr>
      <w:tblGrid>
        <w:gridCol w:w="9016"/>
      </w:tblGrid>
      <w:tr w:rsidR="00530C19" w14:paraId="41EC4AB8" w14:textId="77777777" w:rsidTr="00530C19">
        <w:tc>
          <w:tcPr>
            <w:tcW w:w="9016" w:type="dxa"/>
          </w:tcPr>
          <w:p w14:paraId="21D9F72D" w14:textId="4D4AA131" w:rsidR="00530C19" w:rsidRPr="00BF1365" w:rsidRDefault="00282B50" w:rsidP="00530C19">
            <w:pPr>
              <w:pStyle w:val="ListParagraph"/>
              <w:ind w:left="23" w:firstLine="0"/>
              <w:rPr>
                <w:rFonts w:ascii="Arial" w:hAnsi="Arial" w:cs="Arial"/>
                <w:b/>
                <w:color w:val="auto"/>
              </w:rPr>
            </w:pPr>
            <w:r w:rsidRPr="00BF1365">
              <w:rPr>
                <w:rFonts w:ascii="Arial" w:hAnsi="Arial" w:cs="Arial"/>
                <w:b/>
                <w:color w:val="auto"/>
              </w:rPr>
              <w:lastRenderedPageBreak/>
              <w:t xml:space="preserve">3.  </w:t>
            </w:r>
            <w:r w:rsidR="00530C19" w:rsidRPr="00BF1365">
              <w:rPr>
                <w:rFonts w:ascii="Arial" w:hAnsi="Arial" w:cs="Arial"/>
                <w:b/>
                <w:color w:val="auto"/>
              </w:rPr>
              <w:t>How could schools be better incentivised to be more involved in IT</w:t>
            </w:r>
            <w:r w:rsidR="00A2693B" w:rsidRPr="00BF1365">
              <w:rPr>
                <w:rFonts w:ascii="Arial" w:hAnsi="Arial" w:cs="Arial"/>
                <w:b/>
                <w:color w:val="auto"/>
              </w:rPr>
              <w:t>E</w:t>
            </w:r>
            <w:r w:rsidR="00BF1365">
              <w:rPr>
                <w:rFonts w:ascii="Arial" w:hAnsi="Arial" w:cs="Arial"/>
                <w:b/>
                <w:color w:val="auto"/>
              </w:rPr>
              <w:t>?</w:t>
            </w:r>
          </w:p>
        </w:tc>
      </w:tr>
      <w:tr w:rsidR="00530C19" w14:paraId="65878FEA" w14:textId="77777777" w:rsidTr="00917C54">
        <w:trPr>
          <w:trHeight w:hRule="exact" w:val="10773"/>
        </w:trPr>
        <w:tc>
          <w:tcPr>
            <w:tcW w:w="9016" w:type="dxa"/>
          </w:tcPr>
          <w:p w14:paraId="3E54F77E" w14:textId="77777777" w:rsidR="008D43CE" w:rsidRDefault="008D43CE" w:rsidP="0088636C">
            <w:pPr>
              <w:pStyle w:val="ListParagraph"/>
              <w:ind w:left="23" w:firstLine="0"/>
              <w:rPr>
                <w:rFonts w:ascii="Arial" w:hAnsi="Arial" w:cs="Arial"/>
                <w:color w:val="auto"/>
                <w:sz w:val="20"/>
                <w:szCs w:val="20"/>
              </w:rPr>
            </w:pPr>
          </w:p>
          <w:p w14:paraId="1230F975" w14:textId="4AE5503F" w:rsidR="00530C19" w:rsidRDefault="00CC3F02" w:rsidP="0088636C">
            <w:pPr>
              <w:pStyle w:val="ListParagraph"/>
              <w:ind w:left="23" w:firstLine="0"/>
              <w:rPr>
                <w:rFonts w:ascii="Arial" w:hAnsi="Arial" w:cs="Arial"/>
                <w:color w:val="auto"/>
                <w:sz w:val="20"/>
                <w:szCs w:val="20"/>
              </w:rPr>
            </w:pPr>
            <w:r>
              <w:rPr>
                <w:rFonts w:ascii="Arial" w:hAnsi="Arial" w:cs="Arial"/>
                <w:color w:val="auto"/>
                <w:sz w:val="20"/>
                <w:szCs w:val="20"/>
              </w:rPr>
              <w:t>Schools engage with ITE partnerships fo</w:t>
            </w:r>
            <w:r w:rsidR="0088636C">
              <w:rPr>
                <w:rFonts w:ascii="Arial" w:hAnsi="Arial" w:cs="Arial"/>
                <w:color w:val="auto"/>
                <w:sz w:val="20"/>
                <w:szCs w:val="20"/>
              </w:rPr>
              <w:t>r a number of reasons, including: as part of a social commitment to educate and train the next generation of teachers; the benefits that student teachers bring in term</w:t>
            </w:r>
            <w:r w:rsidR="00535BFA">
              <w:rPr>
                <w:rFonts w:ascii="Arial" w:hAnsi="Arial" w:cs="Arial"/>
                <w:color w:val="auto"/>
                <w:sz w:val="20"/>
                <w:szCs w:val="20"/>
              </w:rPr>
              <w:t>s</w:t>
            </w:r>
            <w:r w:rsidR="0088636C">
              <w:rPr>
                <w:rFonts w:ascii="Arial" w:hAnsi="Arial" w:cs="Arial"/>
                <w:color w:val="auto"/>
                <w:sz w:val="20"/>
                <w:szCs w:val="20"/>
              </w:rPr>
              <w:t xml:space="preserve"> of contributing to the work and culture of the school; access to the new</w:t>
            </w:r>
            <w:r w:rsidR="00ED4141">
              <w:rPr>
                <w:rFonts w:ascii="Arial" w:hAnsi="Arial" w:cs="Arial"/>
                <w:color w:val="auto"/>
                <w:sz w:val="20"/>
                <w:szCs w:val="20"/>
              </w:rPr>
              <w:t>, innovative</w:t>
            </w:r>
            <w:r w:rsidR="0088636C">
              <w:rPr>
                <w:rFonts w:ascii="Arial" w:hAnsi="Arial" w:cs="Arial"/>
                <w:color w:val="auto"/>
                <w:sz w:val="20"/>
                <w:szCs w:val="20"/>
              </w:rPr>
              <w:t xml:space="preserve"> practice and res</w:t>
            </w:r>
            <w:r w:rsidR="009C126F">
              <w:rPr>
                <w:rFonts w:ascii="Arial" w:hAnsi="Arial" w:cs="Arial"/>
                <w:color w:val="auto"/>
                <w:sz w:val="20"/>
                <w:szCs w:val="20"/>
              </w:rPr>
              <w:t xml:space="preserve">earch knowledge that </w:t>
            </w:r>
            <w:r w:rsidR="00ED4141">
              <w:rPr>
                <w:rFonts w:ascii="Arial" w:hAnsi="Arial" w:cs="Arial"/>
                <w:color w:val="auto"/>
                <w:sz w:val="20"/>
                <w:szCs w:val="20"/>
              </w:rPr>
              <w:t>students often</w:t>
            </w:r>
            <w:r w:rsidR="0088636C">
              <w:rPr>
                <w:rFonts w:ascii="Arial" w:hAnsi="Arial" w:cs="Arial"/>
                <w:color w:val="auto"/>
                <w:sz w:val="20"/>
                <w:szCs w:val="20"/>
              </w:rPr>
              <w:t xml:space="preserve"> provi</w:t>
            </w:r>
            <w:r w:rsidR="00535BFA">
              <w:rPr>
                <w:rFonts w:ascii="Arial" w:hAnsi="Arial" w:cs="Arial"/>
                <w:color w:val="auto"/>
                <w:sz w:val="20"/>
                <w:szCs w:val="20"/>
              </w:rPr>
              <w:t xml:space="preserve">de; </w:t>
            </w:r>
            <w:r w:rsidR="00B23FBE">
              <w:rPr>
                <w:rFonts w:ascii="Arial" w:hAnsi="Arial" w:cs="Arial"/>
                <w:color w:val="auto"/>
                <w:sz w:val="20"/>
                <w:szCs w:val="20"/>
              </w:rPr>
              <w:t xml:space="preserve">because it contributes </w:t>
            </w:r>
            <w:r w:rsidR="00582AAD">
              <w:rPr>
                <w:rFonts w:ascii="Arial" w:hAnsi="Arial" w:cs="Arial"/>
                <w:color w:val="auto"/>
                <w:sz w:val="20"/>
                <w:szCs w:val="20"/>
              </w:rPr>
              <w:t>to</w:t>
            </w:r>
            <w:r w:rsidR="00B23FBE">
              <w:rPr>
                <w:rFonts w:ascii="Arial" w:hAnsi="Arial" w:cs="Arial"/>
                <w:color w:val="auto"/>
                <w:sz w:val="20"/>
                <w:szCs w:val="20"/>
              </w:rPr>
              <w:t xml:space="preserve"> the professional development of existing teachers, including those working as mentors; </w:t>
            </w:r>
            <w:r w:rsidR="00535BFA">
              <w:rPr>
                <w:rFonts w:ascii="Arial" w:hAnsi="Arial" w:cs="Arial"/>
                <w:color w:val="auto"/>
                <w:sz w:val="20"/>
                <w:szCs w:val="20"/>
              </w:rPr>
              <w:t>and the access it provides</w:t>
            </w:r>
            <w:r w:rsidR="0088636C">
              <w:rPr>
                <w:rFonts w:ascii="Arial" w:hAnsi="Arial" w:cs="Arial"/>
                <w:color w:val="auto"/>
                <w:sz w:val="20"/>
                <w:szCs w:val="20"/>
              </w:rPr>
              <w:t xml:space="preserve"> to a </w:t>
            </w:r>
            <w:r w:rsidR="00ED4141">
              <w:rPr>
                <w:rFonts w:ascii="Arial" w:hAnsi="Arial" w:cs="Arial"/>
                <w:color w:val="auto"/>
                <w:sz w:val="20"/>
                <w:szCs w:val="20"/>
              </w:rPr>
              <w:t>steady</w:t>
            </w:r>
            <w:r w:rsidR="0088636C">
              <w:rPr>
                <w:rFonts w:ascii="Arial" w:hAnsi="Arial" w:cs="Arial"/>
                <w:color w:val="auto"/>
                <w:sz w:val="20"/>
                <w:szCs w:val="20"/>
              </w:rPr>
              <w:t xml:space="preserve"> supply of </w:t>
            </w:r>
            <w:r w:rsidR="00535BFA">
              <w:rPr>
                <w:rFonts w:ascii="Arial" w:hAnsi="Arial" w:cs="Arial"/>
                <w:color w:val="auto"/>
                <w:sz w:val="20"/>
                <w:szCs w:val="20"/>
              </w:rPr>
              <w:t xml:space="preserve">new </w:t>
            </w:r>
            <w:r w:rsidR="0088636C">
              <w:rPr>
                <w:rFonts w:ascii="Arial" w:hAnsi="Arial" w:cs="Arial"/>
                <w:color w:val="auto"/>
                <w:sz w:val="20"/>
                <w:szCs w:val="20"/>
              </w:rPr>
              <w:t xml:space="preserve">NQTs. </w:t>
            </w:r>
          </w:p>
          <w:p w14:paraId="2049B703" w14:textId="1E1123CA" w:rsidR="0088636C" w:rsidRDefault="0087079D" w:rsidP="0088636C">
            <w:pPr>
              <w:pStyle w:val="ListParagraph"/>
              <w:ind w:left="23" w:firstLine="0"/>
              <w:rPr>
                <w:rFonts w:ascii="Arial" w:hAnsi="Arial" w:cs="Arial"/>
                <w:color w:val="auto"/>
                <w:sz w:val="20"/>
                <w:szCs w:val="20"/>
              </w:rPr>
            </w:pPr>
            <w:r>
              <w:rPr>
                <w:rFonts w:ascii="Arial" w:hAnsi="Arial" w:cs="Arial"/>
                <w:color w:val="auto"/>
                <w:sz w:val="20"/>
                <w:szCs w:val="20"/>
              </w:rPr>
              <w:t xml:space="preserve">Partner schools </w:t>
            </w:r>
            <w:r w:rsidR="0088636C">
              <w:rPr>
                <w:rFonts w:ascii="Arial" w:hAnsi="Arial" w:cs="Arial"/>
                <w:color w:val="auto"/>
                <w:sz w:val="20"/>
                <w:szCs w:val="20"/>
              </w:rPr>
              <w:t xml:space="preserve">receive a proportion of the £9,250 fee income providers receive for each student teacher. The precise amount will depend on how responsibilities are shared between schools and the ITE </w:t>
            </w:r>
            <w:r w:rsidR="00ED4141">
              <w:rPr>
                <w:rFonts w:ascii="Arial" w:hAnsi="Arial" w:cs="Arial"/>
                <w:color w:val="auto"/>
                <w:sz w:val="20"/>
                <w:szCs w:val="20"/>
              </w:rPr>
              <w:t>provider</w:t>
            </w:r>
            <w:r w:rsidR="0088636C">
              <w:rPr>
                <w:rFonts w:ascii="Arial" w:hAnsi="Arial" w:cs="Arial"/>
                <w:color w:val="auto"/>
                <w:sz w:val="20"/>
                <w:szCs w:val="20"/>
              </w:rPr>
              <w:t xml:space="preserve">(s) they work with. This balance of responsibilities will vary according to the needs and </w:t>
            </w:r>
            <w:r w:rsidR="00ED4141">
              <w:rPr>
                <w:rFonts w:ascii="Arial" w:hAnsi="Arial" w:cs="Arial"/>
                <w:color w:val="auto"/>
                <w:sz w:val="20"/>
                <w:szCs w:val="20"/>
              </w:rPr>
              <w:t>contexts</w:t>
            </w:r>
            <w:r w:rsidR="0088636C">
              <w:rPr>
                <w:rFonts w:ascii="Arial" w:hAnsi="Arial" w:cs="Arial"/>
                <w:color w:val="auto"/>
                <w:sz w:val="20"/>
                <w:szCs w:val="20"/>
              </w:rPr>
              <w:t xml:space="preserve"> of each partnership. The prescription of a uniform </w:t>
            </w:r>
            <w:r w:rsidR="00950E84">
              <w:rPr>
                <w:rFonts w:ascii="Arial" w:hAnsi="Arial" w:cs="Arial"/>
                <w:color w:val="auto"/>
                <w:sz w:val="20"/>
                <w:szCs w:val="20"/>
              </w:rPr>
              <w:t xml:space="preserve">or ring-fenced </w:t>
            </w:r>
            <w:r w:rsidR="0088636C">
              <w:rPr>
                <w:rFonts w:ascii="Arial" w:hAnsi="Arial" w:cs="Arial"/>
                <w:color w:val="auto"/>
                <w:sz w:val="20"/>
                <w:szCs w:val="20"/>
              </w:rPr>
              <w:t xml:space="preserve">amount across the sector would </w:t>
            </w:r>
            <w:r w:rsidR="00ED4141">
              <w:rPr>
                <w:rFonts w:ascii="Arial" w:hAnsi="Arial" w:cs="Arial"/>
                <w:color w:val="auto"/>
                <w:sz w:val="20"/>
                <w:szCs w:val="20"/>
              </w:rPr>
              <w:t>prevent</w:t>
            </w:r>
            <w:r w:rsidR="0088636C">
              <w:rPr>
                <w:rFonts w:ascii="Arial" w:hAnsi="Arial" w:cs="Arial"/>
                <w:color w:val="auto"/>
                <w:sz w:val="20"/>
                <w:szCs w:val="20"/>
              </w:rPr>
              <w:t xml:space="preserve"> this </w:t>
            </w:r>
            <w:r w:rsidR="00ED4141">
              <w:rPr>
                <w:rFonts w:ascii="Arial" w:hAnsi="Arial" w:cs="Arial"/>
                <w:color w:val="auto"/>
                <w:sz w:val="20"/>
                <w:szCs w:val="20"/>
              </w:rPr>
              <w:t>flexible</w:t>
            </w:r>
            <w:r w:rsidR="0088636C">
              <w:rPr>
                <w:rFonts w:ascii="Arial" w:hAnsi="Arial" w:cs="Arial"/>
                <w:color w:val="auto"/>
                <w:sz w:val="20"/>
                <w:szCs w:val="20"/>
              </w:rPr>
              <w:t xml:space="preserve"> and contextual approach, and could have the perverse impact of </w:t>
            </w:r>
            <w:r w:rsidR="00ED4141">
              <w:rPr>
                <w:rFonts w:ascii="Arial" w:hAnsi="Arial" w:cs="Arial"/>
                <w:color w:val="auto"/>
                <w:sz w:val="20"/>
                <w:szCs w:val="20"/>
              </w:rPr>
              <w:t>pushing</w:t>
            </w:r>
            <w:r w:rsidR="0088636C">
              <w:rPr>
                <w:rFonts w:ascii="Arial" w:hAnsi="Arial" w:cs="Arial"/>
                <w:color w:val="auto"/>
                <w:sz w:val="20"/>
                <w:szCs w:val="20"/>
              </w:rPr>
              <w:t xml:space="preserve"> some schools out of ITE altogether.</w:t>
            </w:r>
          </w:p>
          <w:p w14:paraId="46FEBE6A" w14:textId="71641A0A" w:rsidR="0088636C" w:rsidRDefault="0088636C" w:rsidP="0088636C">
            <w:pPr>
              <w:pStyle w:val="ListParagraph"/>
              <w:ind w:left="23" w:firstLine="0"/>
              <w:rPr>
                <w:rFonts w:ascii="Arial" w:hAnsi="Arial" w:cs="Arial"/>
                <w:color w:val="auto"/>
                <w:sz w:val="20"/>
                <w:szCs w:val="20"/>
              </w:rPr>
            </w:pPr>
            <w:r>
              <w:rPr>
                <w:rFonts w:ascii="Arial" w:hAnsi="Arial" w:cs="Arial"/>
                <w:color w:val="auto"/>
                <w:sz w:val="20"/>
                <w:szCs w:val="20"/>
              </w:rPr>
              <w:t xml:space="preserve">Different schools have different levels of </w:t>
            </w:r>
            <w:r w:rsidR="00ED4141">
              <w:rPr>
                <w:rFonts w:ascii="Arial" w:hAnsi="Arial" w:cs="Arial"/>
                <w:color w:val="auto"/>
                <w:sz w:val="20"/>
                <w:szCs w:val="20"/>
              </w:rPr>
              <w:t>engagement</w:t>
            </w:r>
            <w:r w:rsidR="00757D55">
              <w:rPr>
                <w:rFonts w:ascii="Arial" w:hAnsi="Arial" w:cs="Arial"/>
                <w:color w:val="auto"/>
                <w:sz w:val="20"/>
                <w:szCs w:val="20"/>
              </w:rPr>
              <w:t xml:space="preserve"> with ITE. In some </w:t>
            </w:r>
            <w:r w:rsidR="008E675A">
              <w:rPr>
                <w:rFonts w:ascii="Arial" w:hAnsi="Arial" w:cs="Arial"/>
                <w:color w:val="auto"/>
                <w:sz w:val="20"/>
                <w:szCs w:val="20"/>
              </w:rPr>
              <w:t xml:space="preserve">models, schools form an integral part of the partnership and have significant </w:t>
            </w:r>
            <w:r w:rsidR="00ED4141">
              <w:rPr>
                <w:rFonts w:ascii="Arial" w:hAnsi="Arial" w:cs="Arial"/>
                <w:color w:val="auto"/>
                <w:sz w:val="20"/>
                <w:szCs w:val="20"/>
              </w:rPr>
              <w:t>engagement</w:t>
            </w:r>
            <w:r w:rsidR="008E675A">
              <w:rPr>
                <w:rFonts w:ascii="Arial" w:hAnsi="Arial" w:cs="Arial"/>
                <w:color w:val="auto"/>
                <w:sz w:val="20"/>
                <w:szCs w:val="20"/>
              </w:rPr>
              <w:t xml:space="preserve"> in governance, decision taking, planning and delivery</w:t>
            </w:r>
            <w:r w:rsidR="007563C7">
              <w:rPr>
                <w:rFonts w:ascii="Arial" w:hAnsi="Arial" w:cs="Arial"/>
                <w:color w:val="auto"/>
                <w:sz w:val="20"/>
                <w:szCs w:val="20"/>
              </w:rPr>
              <w:t>. I</w:t>
            </w:r>
            <w:r w:rsidR="0050785F">
              <w:rPr>
                <w:rFonts w:ascii="Arial" w:hAnsi="Arial" w:cs="Arial"/>
                <w:color w:val="auto"/>
                <w:sz w:val="20"/>
                <w:szCs w:val="20"/>
              </w:rPr>
              <w:t>n others</w:t>
            </w:r>
            <w:r w:rsidR="009C126F">
              <w:rPr>
                <w:rFonts w:ascii="Arial" w:hAnsi="Arial" w:cs="Arial"/>
                <w:color w:val="auto"/>
                <w:sz w:val="20"/>
                <w:szCs w:val="20"/>
              </w:rPr>
              <w:t>,</w:t>
            </w:r>
            <w:r w:rsidR="0050785F">
              <w:rPr>
                <w:rFonts w:ascii="Arial" w:hAnsi="Arial" w:cs="Arial"/>
                <w:color w:val="auto"/>
                <w:sz w:val="20"/>
                <w:szCs w:val="20"/>
              </w:rPr>
              <w:t xml:space="preserve"> providers and schools have distinct but complementary roles that s</w:t>
            </w:r>
            <w:r w:rsidR="007563C7">
              <w:rPr>
                <w:rFonts w:ascii="Arial" w:hAnsi="Arial" w:cs="Arial"/>
                <w:color w:val="auto"/>
                <w:sz w:val="20"/>
                <w:szCs w:val="20"/>
              </w:rPr>
              <w:t xml:space="preserve">ometimes result in schools </w:t>
            </w:r>
            <w:r w:rsidR="0050785F">
              <w:rPr>
                <w:rFonts w:ascii="Arial" w:hAnsi="Arial" w:cs="Arial"/>
                <w:color w:val="auto"/>
                <w:sz w:val="20"/>
                <w:szCs w:val="20"/>
              </w:rPr>
              <w:t>providing placement opp</w:t>
            </w:r>
            <w:r w:rsidR="002E30F0">
              <w:rPr>
                <w:rFonts w:ascii="Arial" w:hAnsi="Arial" w:cs="Arial"/>
                <w:color w:val="auto"/>
                <w:sz w:val="20"/>
                <w:szCs w:val="20"/>
              </w:rPr>
              <w:t>ortunities and mentoring suppor</w:t>
            </w:r>
            <w:r w:rsidR="0050785F">
              <w:rPr>
                <w:rFonts w:ascii="Arial" w:hAnsi="Arial" w:cs="Arial"/>
                <w:color w:val="auto"/>
                <w:sz w:val="20"/>
                <w:szCs w:val="20"/>
              </w:rPr>
              <w:t>t</w:t>
            </w:r>
            <w:r w:rsidR="00262453">
              <w:rPr>
                <w:rFonts w:ascii="Arial" w:hAnsi="Arial" w:cs="Arial"/>
                <w:color w:val="auto"/>
                <w:sz w:val="20"/>
                <w:szCs w:val="20"/>
              </w:rPr>
              <w:t>. While i</w:t>
            </w:r>
            <w:r w:rsidR="002E30F0">
              <w:rPr>
                <w:rFonts w:ascii="Arial" w:hAnsi="Arial" w:cs="Arial"/>
                <w:color w:val="auto"/>
                <w:sz w:val="20"/>
                <w:szCs w:val="20"/>
              </w:rPr>
              <w:t>t</w:t>
            </w:r>
            <w:r w:rsidR="0050785F">
              <w:rPr>
                <w:rFonts w:ascii="Arial" w:hAnsi="Arial" w:cs="Arial"/>
                <w:color w:val="auto"/>
                <w:sz w:val="20"/>
                <w:szCs w:val="20"/>
              </w:rPr>
              <w:t xml:space="preserve"> would </w:t>
            </w:r>
            <w:r w:rsidR="00262453">
              <w:rPr>
                <w:rFonts w:ascii="Arial" w:hAnsi="Arial" w:cs="Arial"/>
                <w:color w:val="auto"/>
                <w:sz w:val="20"/>
                <w:szCs w:val="20"/>
              </w:rPr>
              <w:t xml:space="preserve">be worthwhile for a review to consider how a level of consistency and minimum </w:t>
            </w:r>
            <w:r w:rsidR="004E5906">
              <w:rPr>
                <w:rFonts w:ascii="Arial" w:hAnsi="Arial" w:cs="Arial"/>
                <w:color w:val="auto"/>
                <w:sz w:val="20"/>
                <w:szCs w:val="20"/>
              </w:rPr>
              <w:t>expectations</w:t>
            </w:r>
            <w:r w:rsidR="00262453">
              <w:rPr>
                <w:rFonts w:ascii="Arial" w:hAnsi="Arial" w:cs="Arial"/>
                <w:color w:val="auto"/>
                <w:sz w:val="20"/>
                <w:szCs w:val="20"/>
              </w:rPr>
              <w:t xml:space="preserve"> might be ensured, we do </w:t>
            </w:r>
            <w:r w:rsidR="0050785F">
              <w:rPr>
                <w:rFonts w:ascii="Arial" w:hAnsi="Arial" w:cs="Arial"/>
                <w:color w:val="auto"/>
                <w:sz w:val="20"/>
                <w:szCs w:val="20"/>
              </w:rPr>
              <w:t xml:space="preserve">not </w:t>
            </w:r>
            <w:r w:rsidR="00262453">
              <w:rPr>
                <w:rFonts w:ascii="Arial" w:hAnsi="Arial" w:cs="Arial"/>
                <w:color w:val="auto"/>
                <w:sz w:val="20"/>
                <w:szCs w:val="20"/>
              </w:rPr>
              <w:t xml:space="preserve">think that it would </w:t>
            </w:r>
            <w:r w:rsidR="0050785F">
              <w:rPr>
                <w:rFonts w:ascii="Arial" w:hAnsi="Arial" w:cs="Arial"/>
                <w:color w:val="auto"/>
                <w:sz w:val="20"/>
                <w:szCs w:val="20"/>
              </w:rPr>
              <w:t xml:space="preserve">be appropriate to apply one uniform model across </w:t>
            </w:r>
            <w:r w:rsidR="007563C7">
              <w:rPr>
                <w:rFonts w:ascii="Arial" w:hAnsi="Arial" w:cs="Arial"/>
                <w:color w:val="auto"/>
                <w:sz w:val="20"/>
                <w:szCs w:val="20"/>
              </w:rPr>
              <w:t>the whole sector</w:t>
            </w:r>
            <w:r w:rsidR="0050785F">
              <w:rPr>
                <w:rFonts w:ascii="Arial" w:hAnsi="Arial" w:cs="Arial"/>
                <w:color w:val="auto"/>
                <w:sz w:val="20"/>
                <w:szCs w:val="20"/>
              </w:rPr>
              <w:t xml:space="preserve">. </w:t>
            </w:r>
          </w:p>
          <w:p w14:paraId="2AF03E34" w14:textId="3F39FF0C" w:rsidR="008E675A" w:rsidRDefault="008E675A" w:rsidP="0088636C">
            <w:pPr>
              <w:pStyle w:val="ListParagraph"/>
              <w:ind w:left="23" w:firstLine="0"/>
              <w:rPr>
                <w:rFonts w:ascii="Arial" w:hAnsi="Arial" w:cs="Arial"/>
                <w:color w:val="auto"/>
                <w:sz w:val="20"/>
                <w:szCs w:val="20"/>
              </w:rPr>
            </w:pPr>
            <w:r>
              <w:rPr>
                <w:rFonts w:ascii="Arial" w:hAnsi="Arial" w:cs="Arial"/>
                <w:color w:val="auto"/>
                <w:sz w:val="20"/>
                <w:szCs w:val="20"/>
              </w:rPr>
              <w:t xml:space="preserve">We would welcome </w:t>
            </w:r>
            <w:r w:rsidR="00ED4141">
              <w:rPr>
                <w:rFonts w:ascii="Arial" w:hAnsi="Arial" w:cs="Arial"/>
                <w:color w:val="auto"/>
                <w:sz w:val="20"/>
                <w:szCs w:val="20"/>
              </w:rPr>
              <w:t>schools</w:t>
            </w:r>
            <w:r>
              <w:rPr>
                <w:rFonts w:ascii="Arial" w:hAnsi="Arial" w:cs="Arial"/>
                <w:color w:val="auto"/>
                <w:sz w:val="20"/>
                <w:szCs w:val="20"/>
              </w:rPr>
              <w:t xml:space="preserve"> being given a greater incentive to engage in both teacher education and in early and ongoing professional development. However</w:t>
            </w:r>
            <w:r w:rsidR="0039263C">
              <w:rPr>
                <w:rFonts w:ascii="Arial" w:hAnsi="Arial" w:cs="Arial"/>
                <w:color w:val="auto"/>
                <w:sz w:val="20"/>
                <w:szCs w:val="20"/>
              </w:rPr>
              <w:t>,</w:t>
            </w:r>
            <w:r>
              <w:rPr>
                <w:rFonts w:ascii="Arial" w:hAnsi="Arial" w:cs="Arial"/>
                <w:color w:val="auto"/>
                <w:sz w:val="20"/>
                <w:szCs w:val="20"/>
              </w:rPr>
              <w:t xml:space="preserve"> a blanket requirement on schools to participate in ITE would be counter-productive. A</w:t>
            </w:r>
            <w:r w:rsidR="003E283C">
              <w:rPr>
                <w:rFonts w:ascii="Arial" w:hAnsi="Arial" w:cs="Arial"/>
                <w:color w:val="auto"/>
                <w:sz w:val="20"/>
                <w:szCs w:val="20"/>
              </w:rPr>
              <w:t xml:space="preserve"> </w:t>
            </w:r>
            <w:r>
              <w:rPr>
                <w:rFonts w:ascii="Arial" w:hAnsi="Arial" w:cs="Arial"/>
                <w:color w:val="auto"/>
                <w:sz w:val="20"/>
                <w:szCs w:val="20"/>
              </w:rPr>
              <w:t>former Chief Executive of the Training &amp; Developmen</w:t>
            </w:r>
            <w:r w:rsidR="0039263C">
              <w:rPr>
                <w:rFonts w:ascii="Arial" w:hAnsi="Arial" w:cs="Arial"/>
                <w:color w:val="auto"/>
                <w:sz w:val="20"/>
                <w:szCs w:val="20"/>
              </w:rPr>
              <w:t>t Agency for schools once told the Education Select Committee that ‘</w:t>
            </w:r>
            <w:r w:rsidR="003E283C">
              <w:rPr>
                <w:rFonts w:ascii="Arial" w:hAnsi="Arial" w:cs="Arial"/>
                <w:i/>
                <w:color w:val="auto"/>
                <w:sz w:val="20"/>
                <w:szCs w:val="20"/>
              </w:rPr>
              <w:t xml:space="preserve">pressed men rarely make the </w:t>
            </w:r>
            <w:r w:rsidR="0039263C">
              <w:rPr>
                <w:rFonts w:ascii="Arial" w:hAnsi="Arial" w:cs="Arial"/>
                <w:i/>
                <w:color w:val="auto"/>
                <w:sz w:val="20"/>
                <w:szCs w:val="20"/>
              </w:rPr>
              <w:t>best recruits’</w:t>
            </w:r>
            <w:r>
              <w:rPr>
                <w:rFonts w:ascii="Arial" w:hAnsi="Arial" w:cs="Arial"/>
                <w:color w:val="auto"/>
                <w:sz w:val="20"/>
                <w:szCs w:val="20"/>
              </w:rPr>
              <w:t xml:space="preserve">’. </w:t>
            </w:r>
            <w:r w:rsidR="00ED4141">
              <w:rPr>
                <w:rFonts w:ascii="Arial" w:hAnsi="Arial" w:cs="Arial"/>
                <w:color w:val="auto"/>
                <w:sz w:val="20"/>
                <w:szCs w:val="20"/>
              </w:rPr>
              <w:t>Engaging</w:t>
            </w:r>
            <w:r>
              <w:rPr>
                <w:rFonts w:ascii="Arial" w:hAnsi="Arial" w:cs="Arial"/>
                <w:color w:val="auto"/>
                <w:sz w:val="20"/>
                <w:szCs w:val="20"/>
              </w:rPr>
              <w:t xml:space="preserve"> in ITE simply to meet a statutory </w:t>
            </w:r>
            <w:r w:rsidR="00ED4141">
              <w:rPr>
                <w:rFonts w:ascii="Arial" w:hAnsi="Arial" w:cs="Arial"/>
                <w:color w:val="auto"/>
                <w:sz w:val="20"/>
                <w:szCs w:val="20"/>
              </w:rPr>
              <w:t>obligation could lead t</w:t>
            </w:r>
            <w:r>
              <w:rPr>
                <w:rFonts w:ascii="Arial" w:hAnsi="Arial" w:cs="Arial"/>
                <w:color w:val="auto"/>
                <w:sz w:val="20"/>
                <w:szCs w:val="20"/>
              </w:rPr>
              <w:t xml:space="preserve">o at best </w:t>
            </w:r>
            <w:r w:rsidR="003E283C">
              <w:rPr>
                <w:rFonts w:ascii="Arial" w:hAnsi="Arial" w:cs="Arial"/>
                <w:color w:val="auto"/>
                <w:sz w:val="20"/>
                <w:szCs w:val="20"/>
              </w:rPr>
              <w:t xml:space="preserve">a </w:t>
            </w:r>
            <w:r>
              <w:rPr>
                <w:rFonts w:ascii="Arial" w:hAnsi="Arial" w:cs="Arial"/>
                <w:color w:val="auto"/>
                <w:sz w:val="20"/>
                <w:szCs w:val="20"/>
              </w:rPr>
              <w:t xml:space="preserve">half-hearted </w:t>
            </w:r>
            <w:r w:rsidR="00ED4141">
              <w:rPr>
                <w:rFonts w:ascii="Arial" w:hAnsi="Arial" w:cs="Arial"/>
                <w:color w:val="auto"/>
                <w:sz w:val="20"/>
                <w:szCs w:val="20"/>
              </w:rPr>
              <w:t>engagement</w:t>
            </w:r>
            <w:r>
              <w:rPr>
                <w:rFonts w:ascii="Arial" w:hAnsi="Arial" w:cs="Arial"/>
                <w:color w:val="auto"/>
                <w:sz w:val="20"/>
                <w:szCs w:val="20"/>
              </w:rPr>
              <w:t xml:space="preserve"> with ITE and a poor quality experience for student teachers. </w:t>
            </w:r>
          </w:p>
          <w:p w14:paraId="0A4B9863" w14:textId="6F3BD22A" w:rsidR="008E675A" w:rsidRDefault="008E675A" w:rsidP="0088636C">
            <w:pPr>
              <w:pStyle w:val="ListParagraph"/>
              <w:ind w:left="23" w:firstLine="0"/>
              <w:rPr>
                <w:rFonts w:ascii="Arial" w:hAnsi="Arial" w:cs="Arial"/>
                <w:color w:val="auto"/>
                <w:sz w:val="20"/>
                <w:szCs w:val="20"/>
              </w:rPr>
            </w:pPr>
            <w:r>
              <w:rPr>
                <w:rFonts w:ascii="Arial" w:hAnsi="Arial" w:cs="Arial"/>
                <w:color w:val="auto"/>
                <w:sz w:val="20"/>
                <w:szCs w:val="20"/>
              </w:rPr>
              <w:t>An op</w:t>
            </w:r>
            <w:r w:rsidR="00ED4141">
              <w:rPr>
                <w:rFonts w:ascii="Arial" w:hAnsi="Arial" w:cs="Arial"/>
                <w:color w:val="auto"/>
                <w:sz w:val="20"/>
                <w:szCs w:val="20"/>
              </w:rPr>
              <w:t>ti</w:t>
            </w:r>
            <w:r>
              <w:rPr>
                <w:rFonts w:ascii="Arial" w:hAnsi="Arial" w:cs="Arial"/>
                <w:color w:val="auto"/>
                <w:sz w:val="20"/>
                <w:szCs w:val="20"/>
              </w:rPr>
              <w:t xml:space="preserve">on that could </w:t>
            </w:r>
            <w:r w:rsidR="0039263C">
              <w:rPr>
                <w:rFonts w:ascii="Arial" w:hAnsi="Arial" w:cs="Arial"/>
                <w:color w:val="auto"/>
                <w:sz w:val="20"/>
                <w:szCs w:val="20"/>
              </w:rPr>
              <w:t>however work, combining both a ‘</w:t>
            </w:r>
            <w:r w:rsidR="00ED4141">
              <w:rPr>
                <w:rFonts w:ascii="Arial" w:hAnsi="Arial" w:cs="Arial"/>
                <w:color w:val="auto"/>
                <w:sz w:val="20"/>
                <w:szCs w:val="20"/>
              </w:rPr>
              <w:t>carrot</w:t>
            </w:r>
            <w:r>
              <w:rPr>
                <w:rFonts w:ascii="Arial" w:hAnsi="Arial" w:cs="Arial"/>
                <w:color w:val="auto"/>
                <w:sz w:val="20"/>
                <w:szCs w:val="20"/>
              </w:rPr>
              <w:t>’ and a ‘stick’ approach</w:t>
            </w:r>
            <w:r w:rsidR="003E283C">
              <w:rPr>
                <w:rFonts w:ascii="Arial" w:hAnsi="Arial" w:cs="Arial"/>
                <w:color w:val="auto"/>
                <w:sz w:val="20"/>
                <w:szCs w:val="20"/>
              </w:rPr>
              <w:t>,</w:t>
            </w:r>
            <w:r>
              <w:rPr>
                <w:rFonts w:ascii="Arial" w:hAnsi="Arial" w:cs="Arial"/>
                <w:color w:val="auto"/>
                <w:sz w:val="20"/>
                <w:szCs w:val="20"/>
              </w:rPr>
              <w:t xml:space="preserve"> would be for </w:t>
            </w:r>
            <w:proofErr w:type="spellStart"/>
            <w:r>
              <w:rPr>
                <w:rFonts w:ascii="Arial" w:hAnsi="Arial" w:cs="Arial"/>
                <w:color w:val="auto"/>
                <w:sz w:val="20"/>
                <w:szCs w:val="20"/>
              </w:rPr>
              <w:t>OfSTED</w:t>
            </w:r>
            <w:proofErr w:type="spellEnd"/>
            <w:r>
              <w:rPr>
                <w:rFonts w:ascii="Arial" w:hAnsi="Arial" w:cs="Arial"/>
                <w:color w:val="auto"/>
                <w:sz w:val="20"/>
                <w:szCs w:val="20"/>
              </w:rPr>
              <w:t xml:space="preserve"> to look at the extent to which schools engage in teacher education when they </w:t>
            </w:r>
            <w:r w:rsidR="00ED4141">
              <w:rPr>
                <w:rFonts w:ascii="Arial" w:hAnsi="Arial" w:cs="Arial"/>
                <w:color w:val="auto"/>
                <w:sz w:val="20"/>
                <w:szCs w:val="20"/>
              </w:rPr>
              <w:t>carry</w:t>
            </w:r>
            <w:r>
              <w:rPr>
                <w:rFonts w:ascii="Arial" w:hAnsi="Arial" w:cs="Arial"/>
                <w:color w:val="auto"/>
                <w:sz w:val="20"/>
                <w:szCs w:val="20"/>
              </w:rPr>
              <w:t xml:space="preserve"> out school inspections. To be awarded an ‘outstanding’ grade, schools would have to demonstrate a deep</w:t>
            </w:r>
            <w:r w:rsidR="0039263C">
              <w:rPr>
                <w:rFonts w:ascii="Arial" w:hAnsi="Arial" w:cs="Arial"/>
                <w:color w:val="auto"/>
                <w:sz w:val="20"/>
                <w:szCs w:val="20"/>
              </w:rPr>
              <w:t xml:space="preserve">, </w:t>
            </w:r>
            <w:r>
              <w:rPr>
                <w:rFonts w:ascii="Arial" w:hAnsi="Arial" w:cs="Arial"/>
                <w:color w:val="auto"/>
                <w:sz w:val="20"/>
                <w:szCs w:val="20"/>
              </w:rPr>
              <w:t xml:space="preserve">continuing </w:t>
            </w:r>
            <w:r w:rsidR="0039263C">
              <w:rPr>
                <w:rFonts w:ascii="Arial" w:hAnsi="Arial" w:cs="Arial"/>
                <w:color w:val="auto"/>
                <w:sz w:val="20"/>
                <w:szCs w:val="20"/>
              </w:rPr>
              <w:t xml:space="preserve">and effective </w:t>
            </w:r>
            <w:r>
              <w:rPr>
                <w:rFonts w:ascii="Arial" w:hAnsi="Arial" w:cs="Arial"/>
                <w:color w:val="auto"/>
                <w:sz w:val="20"/>
                <w:szCs w:val="20"/>
              </w:rPr>
              <w:t xml:space="preserve">commitment to the </w:t>
            </w:r>
            <w:r w:rsidR="00ED4141">
              <w:rPr>
                <w:rFonts w:ascii="Arial" w:hAnsi="Arial" w:cs="Arial"/>
                <w:color w:val="auto"/>
                <w:sz w:val="20"/>
                <w:szCs w:val="20"/>
              </w:rPr>
              <w:t>initial</w:t>
            </w:r>
            <w:r>
              <w:rPr>
                <w:rFonts w:ascii="Arial" w:hAnsi="Arial" w:cs="Arial"/>
                <w:color w:val="auto"/>
                <w:sz w:val="20"/>
                <w:szCs w:val="20"/>
              </w:rPr>
              <w:t xml:space="preserve"> and ongoing development of </w:t>
            </w:r>
            <w:r w:rsidR="00ED4141">
              <w:rPr>
                <w:rFonts w:ascii="Arial" w:hAnsi="Arial" w:cs="Arial"/>
                <w:color w:val="auto"/>
                <w:sz w:val="20"/>
                <w:szCs w:val="20"/>
              </w:rPr>
              <w:t>the</w:t>
            </w:r>
            <w:r>
              <w:rPr>
                <w:rFonts w:ascii="Arial" w:hAnsi="Arial" w:cs="Arial"/>
                <w:color w:val="auto"/>
                <w:sz w:val="20"/>
                <w:szCs w:val="20"/>
              </w:rPr>
              <w:t xml:space="preserve"> profession. </w:t>
            </w:r>
            <w:r w:rsidR="0039263C">
              <w:rPr>
                <w:rFonts w:ascii="Arial" w:hAnsi="Arial" w:cs="Arial"/>
                <w:color w:val="auto"/>
                <w:sz w:val="20"/>
                <w:szCs w:val="20"/>
              </w:rPr>
              <w:t>That would give a clear encourageme</w:t>
            </w:r>
            <w:r w:rsidR="003E283C">
              <w:rPr>
                <w:rFonts w:ascii="Arial" w:hAnsi="Arial" w:cs="Arial"/>
                <w:color w:val="auto"/>
                <w:sz w:val="20"/>
                <w:szCs w:val="20"/>
              </w:rPr>
              <w:t>nt to the best schools to participate</w:t>
            </w:r>
            <w:r w:rsidR="0039263C">
              <w:rPr>
                <w:rFonts w:ascii="Arial" w:hAnsi="Arial" w:cs="Arial"/>
                <w:color w:val="auto"/>
                <w:sz w:val="20"/>
                <w:szCs w:val="20"/>
              </w:rPr>
              <w:t>.</w:t>
            </w:r>
          </w:p>
          <w:p w14:paraId="20FB58BA" w14:textId="3CE7B64F" w:rsidR="0088636C" w:rsidRPr="00CC3F02" w:rsidRDefault="0088636C" w:rsidP="0088636C">
            <w:pPr>
              <w:pStyle w:val="ListParagraph"/>
              <w:ind w:left="23" w:firstLine="0"/>
              <w:rPr>
                <w:rFonts w:ascii="Arial" w:hAnsi="Arial" w:cs="Arial"/>
                <w:color w:val="auto"/>
                <w:sz w:val="20"/>
                <w:szCs w:val="20"/>
              </w:rPr>
            </w:pPr>
          </w:p>
        </w:tc>
      </w:tr>
    </w:tbl>
    <w:p w14:paraId="1CA8F4A1" w14:textId="5E961D8B" w:rsidR="00530C19" w:rsidRDefault="00530C19"/>
    <w:p w14:paraId="4E0EA1CF" w14:textId="77777777" w:rsidR="00917C54" w:rsidRDefault="00917C54">
      <w:r>
        <w:br w:type="page"/>
      </w:r>
    </w:p>
    <w:tbl>
      <w:tblPr>
        <w:tblStyle w:val="TableGrid"/>
        <w:tblW w:w="0" w:type="auto"/>
        <w:tblLook w:val="04A0" w:firstRow="1" w:lastRow="0" w:firstColumn="1" w:lastColumn="0" w:noHBand="0" w:noVBand="1"/>
      </w:tblPr>
      <w:tblGrid>
        <w:gridCol w:w="9016"/>
      </w:tblGrid>
      <w:tr w:rsidR="00530C19" w14:paraId="37B8B004" w14:textId="77777777" w:rsidTr="00530C19">
        <w:tc>
          <w:tcPr>
            <w:tcW w:w="9016" w:type="dxa"/>
          </w:tcPr>
          <w:p w14:paraId="18BD7831" w14:textId="50AE6968" w:rsidR="00530C19" w:rsidRPr="00530C19" w:rsidRDefault="00282B50" w:rsidP="00530C19">
            <w:pPr>
              <w:pStyle w:val="ListParagraph"/>
              <w:ind w:left="23" w:firstLine="0"/>
              <w:rPr>
                <w:rFonts w:ascii="Arial" w:hAnsi="Arial" w:cs="Arial"/>
                <w:b/>
                <w:color w:val="auto"/>
                <w:sz w:val="24"/>
              </w:rPr>
            </w:pPr>
            <w:r>
              <w:rPr>
                <w:rFonts w:ascii="Arial" w:hAnsi="Arial" w:cs="Arial"/>
                <w:b/>
                <w:color w:val="auto"/>
                <w:sz w:val="24"/>
              </w:rPr>
              <w:lastRenderedPageBreak/>
              <w:t xml:space="preserve">4.  </w:t>
            </w:r>
            <w:r w:rsidR="00530C19" w:rsidRPr="00530C19">
              <w:rPr>
                <w:rFonts w:ascii="Arial" w:hAnsi="Arial" w:cs="Arial"/>
                <w:b/>
                <w:color w:val="auto"/>
                <w:sz w:val="24"/>
              </w:rPr>
              <w:t>How can IT</w:t>
            </w:r>
            <w:r w:rsidR="00A2693B">
              <w:rPr>
                <w:rFonts w:ascii="Arial" w:hAnsi="Arial" w:cs="Arial"/>
                <w:b/>
                <w:color w:val="auto"/>
                <w:sz w:val="24"/>
              </w:rPr>
              <w:t>E</w:t>
            </w:r>
            <w:r w:rsidR="00530C19" w:rsidRPr="00530C19">
              <w:rPr>
                <w:rFonts w:ascii="Arial" w:hAnsi="Arial" w:cs="Arial"/>
                <w:b/>
                <w:color w:val="auto"/>
                <w:sz w:val="24"/>
              </w:rPr>
              <w:t xml:space="preserve"> be improved?</w:t>
            </w:r>
          </w:p>
        </w:tc>
      </w:tr>
      <w:tr w:rsidR="00530C19" w:rsidRPr="008D43CE" w14:paraId="56137C08" w14:textId="77777777" w:rsidTr="00917C54">
        <w:trPr>
          <w:trHeight w:hRule="exact" w:val="10773"/>
        </w:trPr>
        <w:tc>
          <w:tcPr>
            <w:tcW w:w="9016" w:type="dxa"/>
          </w:tcPr>
          <w:p w14:paraId="69D33157" w14:textId="06BD2185" w:rsidR="004A57FE" w:rsidRPr="008D43CE" w:rsidRDefault="004A57FE" w:rsidP="00762852">
            <w:pPr>
              <w:pStyle w:val="ListParagraph"/>
              <w:ind w:left="23" w:firstLine="0"/>
              <w:rPr>
                <w:rFonts w:ascii="Arial" w:hAnsi="Arial" w:cs="Arial"/>
                <w:color w:val="auto"/>
                <w:sz w:val="20"/>
                <w:szCs w:val="20"/>
              </w:rPr>
            </w:pPr>
          </w:p>
          <w:p w14:paraId="5B66906A" w14:textId="2AF107E1" w:rsidR="0050785F" w:rsidRPr="00DE7139" w:rsidRDefault="00B12162" w:rsidP="002F6DFE">
            <w:pPr>
              <w:pStyle w:val="ListParagraph"/>
              <w:ind w:left="23" w:firstLine="0"/>
              <w:rPr>
                <w:rFonts w:ascii="Arial" w:hAnsi="Arial" w:cs="Arial"/>
                <w:sz w:val="20"/>
                <w:szCs w:val="20"/>
              </w:rPr>
            </w:pPr>
            <w:r w:rsidRPr="008D43CE">
              <w:rPr>
                <w:rFonts w:ascii="Arial" w:hAnsi="Arial" w:cs="Arial"/>
                <w:color w:val="auto"/>
                <w:sz w:val="20"/>
                <w:szCs w:val="20"/>
              </w:rPr>
              <w:t xml:space="preserve">Despite its clear strengths, there will always be scope to improve the quality of ITE. We would suggest that the starting point </w:t>
            </w:r>
            <w:r w:rsidR="0039263C">
              <w:rPr>
                <w:rFonts w:ascii="Arial" w:hAnsi="Arial" w:cs="Arial"/>
                <w:color w:val="auto"/>
                <w:sz w:val="20"/>
                <w:szCs w:val="20"/>
              </w:rPr>
              <w:t xml:space="preserve">for this </w:t>
            </w:r>
            <w:r w:rsidRPr="008D43CE">
              <w:rPr>
                <w:rFonts w:ascii="Arial" w:hAnsi="Arial" w:cs="Arial"/>
                <w:color w:val="auto"/>
                <w:sz w:val="20"/>
                <w:szCs w:val="20"/>
              </w:rPr>
              <w:t>shou</w:t>
            </w:r>
            <w:r w:rsidR="00762852" w:rsidRPr="008D43CE">
              <w:rPr>
                <w:rFonts w:ascii="Arial" w:hAnsi="Arial" w:cs="Arial"/>
                <w:color w:val="auto"/>
                <w:sz w:val="20"/>
                <w:szCs w:val="20"/>
              </w:rPr>
              <w:t>l</w:t>
            </w:r>
            <w:r w:rsidRPr="008D43CE">
              <w:rPr>
                <w:rFonts w:ascii="Arial" w:hAnsi="Arial" w:cs="Arial"/>
                <w:color w:val="auto"/>
                <w:sz w:val="20"/>
                <w:szCs w:val="20"/>
              </w:rPr>
              <w:t xml:space="preserve">d be a thorough and open review of ITE that </w:t>
            </w:r>
            <w:r w:rsidR="00762852" w:rsidRPr="008D43CE">
              <w:rPr>
                <w:rFonts w:ascii="Arial" w:hAnsi="Arial" w:cs="Arial"/>
                <w:color w:val="auto"/>
                <w:sz w:val="20"/>
                <w:szCs w:val="20"/>
              </w:rPr>
              <w:t xml:space="preserve">allows time for a range of evidence to be invited, discussed and </w:t>
            </w:r>
            <w:r w:rsidR="004A57FE" w:rsidRPr="008D43CE">
              <w:rPr>
                <w:rFonts w:ascii="Arial" w:hAnsi="Arial" w:cs="Arial"/>
                <w:color w:val="auto"/>
                <w:sz w:val="20"/>
                <w:szCs w:val="20"/>
              </w:rPr>
              <w:t>inter</w:t>
            </w:r>
            <w:r w:rsidR="0050785F">
              <w:rPr>
                <w:rFonts w:ascii="Arial" w:hAnsi="Arial" w:cs="Arial"/>
                <w:color w:val="auto"/>
                <w:sz w:val="20"/>
                <w:szCs w:val="20"/>
              </w:rPr>
              <w:t xml:space="preserve">rogated, including international evidence about what constitutes effective ITE. The process </w:t>
            </w:r>
            <w:r w:rsidR="00762852" w:rsidRPr="008D43CE">
              <w:rPr>
                <w:rFonts w:ascii="Arial" w:hAnsi="Arial" w:cs="Arial"/>
                <w:color w:val="auto"/>
                <w:sz w:val="20"/>
                <w:szCs w:val="20"/>
              </w:rPr>
              <w:t xml:space="preserve">should involve school leaders, teachers, student </w:t>
            </w:r>
            <w:r w:rsidR="004A57FE" w:rsidRPr="008D43CE">
              <w:rPr>
                <w:rFonts w:ascii="Arial" w:hAnsi="Arial" w:cs="Arial"/>
                <w:color w:val="auto"/>
                <w:sz w:val="20"/>
                <w:szCs w:val="20"/>
              </w:rPr>
              <w:t>teachers, professional</w:t>
            </w:r>
            <w:r w:rsidR="00762852" w:rsidRPr="008D43CE">
              <w:rPr>
                <w:rFonts w:ascii="Arial" w:hAnsi="Arial" w:cs="Arial"/>
                <w:color w:val="auto"/>
                <w:sz w:val="20"/>
                <w:szCs w:val="20"/>
              </w:rPr>
              <w:t xml:space="preserve"> </w:t>
            </w:r>
            <w:r w:rsidR="004A57FE" w:rsidRPr="008D43CE">
              <w:rPr>
                <w:rFonts w:ascii="Arial" w:hAnsi="Arial" w:cs="Arial"/>
                <w:color w:val="auto"/>
                <w:sz w:val="20"/>
                <w:szCs w:val="20"/>
              </w:rPr>
              <w:t>associations</w:t>
            </w:r>
            <w:r w:rsidR="00762852" w:rsidRPr="008D43CE">
              <w:rPr>
                <w:rFonts w:ascii="Arial" w:hAnsi="Arial" w:cs="Arial"/>
                <w:color w:val="auto"/>
                <w:sz w:val="20"/>
                <w:szCs w:val="20"/>
              </w:rPr>
              <w:t xml:space="preserve">, the research community and ITE providers themselves. It </w:t>
            </w:r>
            <w:r w:rsidR="004A57FE" w:rsidRPr="008D43CE">
              <w:rPr>
                <w:rFonts w:ascii="Arial" w:hAnsi="Arial" w:cs="Arial"/>
                <w:color w:val="auto"/>
                <w:sz w:val="20"/>
                <w:szCs w:val="20"/>
              </w:rPr>
              <w:t>should</w:t>
            </w:r>
            <w:r w:rsidR="00762852" w:rsidRPr="008D43CE">
              <w:rPr>
                <w:rFonts w:ascii="Arial" w:hAnsi="Arial" w:cs="Arial"/>
                <w:color w:val="auto"/>
                <w:sz w:val="20"/>
                <w:szCs w:val="20"/>
              </w:rPr>
              <w:t xml:space="preserve"> also be timed to allow evidence from the new </w:t>
            </w:r>
            <w:proofErr w:type="spellStart"/>
            <w:r w:rsidR="00762852" w:rsidRPr="008D43CE">
              <w:rPr>
                <w:rFonts w:ascii="Arial" w:hAnsi="Arial" w:cs="Arial"/>
                <w:color w:val="auto"/>
                <w:sz w:val="20"/>
                <w:szCs w:val="20"/>
              </w:rPr>
              <w:t>OfSTED</w:t>
            </w:r>
            <w:proofErr w:type="spellEnd"/>
            <w:r w:rsidR="00762852" w:rsidRPr="008D43CE">
              <w:rPr>
                <w:rFonts w:ascii="Arial" w:hAnsi="Arial" w:cs="Arial"/>
                <w:color w:val="auto"/>
                <w:sz w:val="20"/>
                <w:szCs w:val="20"/>
              </w:rPr>
              <w:t xml:space="preserve"> inspection framework, particularly in </w:t>
            </w:r>
            <w:r w:rsidR="004A57FE" w:rsidRPr="008D43CE">
              <w:rPr>
                <w:rFonts w:ascii="Arial" w:hAnsi="Arial" w:cs="Arial"/>
                <w:color w:val="auto"/>
                <w:sz w:val="20"/>
                <w:szCs w:val="20"/>
              </w:rPr>
              <w:t>regards</w:t>
            </w:r>
            <w:r w:rsidR="009C126F">
              <w:rPr>
                <w:rFonts w:ascii="Arial" w:hAnsi="Arial" w:cs="Arial"/>
                <w:color w:val="auto"/>
                <w:sz w:val="20"/>
                <w:szCs w:val="20"/>
              </w:rPr>
              <w:t xml:space="preserve"> to</w:t>
            </w:r>
            <w:r w:rsidR="00762852" w:rsidRPr="008D43CE">
              <w:rPr>
                <w:rFonts w:ascii="Arial" w:hAnsi="Arial" w:cs="Arial"/>
                <w:color w:val="auto"/>
                <w:sz w:val="20"/>
                <w:szCs w:val="20"/>
              </w:rPr>
              <w:t xml:space="preserve"> the Core Content Framework, to be analysed and reflected upon.</w:t>
            </w:r>
            <w:r w:rsidR="002F6DFE">
              <w:rPr>
                <w:rFonts w:ascii="Arial" w:hAnsi="Arial" w:cs="Arial"/>
                <w:color w:val="auto"/>
                <w:sz w:val="20"/>
                <w:szCs w:val="20"/>
              </w:rPr>
              <w:t xml:space="preserve"> </w:t>
            </w:r>
            <w:r w:rsidR="00DE7139">
              <w:rPr>
                <w:rFonts w:ascii="Arial" w:hAnsi="Arial" w:cs="Arial"/>
                <w:sz w:val="20"/>
                <w:szCs w:val="20"/>
              </w:rPr>
              <w:t xml:space="preserve">A </w:t>
            </w:r>
            <w:r w:rsidR="009C126F" w:rsidRPr="00DE7139">
              <w:rPr>
                <w:rFonts w:ascii="Arial" w:hAnsi="Arial" w:cs="Arial"/>
                <w:sz w:val="20"/>
                <w:szCs w:val="20"/>
              </w:rPr>
              <w:t xml:space="preserve">review </w:t>
            </w:r>
            <w:r w:rsidR="00DE7139">
              <w:rPr>
                <w:rFonts w:ascii="Arial" w:hAnsi="Arial" w:cs="Arial"/>
                <w:sz w:val="20"/>
                <w:szCs w:val="20"/>
              </w:rPr>
              <w:t xml:space="preserve">should </w:t>
            </w:r>
            <w:r w:rsidR="004E5906" w:rsidRPr="00DE7139">
              <w:rPr>
                <w:rFonts w:ascii="Arial" w:hAnsi="Arial" w:cs="Arial"/>
                <w:sz w:val="20"/>
                <w:szCs w:val="20"/>
              </w:rPr>
              <w:t>focus</w:t>
            </w:r>
            <w:r w:rsidR="00762852" w:rsidRPr="00DE7139">
              <w:rPr>
                <w:rFonts w:ascii="Arial" w:hAnsi="Arial" w:cs="Arial"/>
                <w:sz w:val="20"/>
                <w:szCs w:val="20"/>
              </w:rPr>
              <w:t xml:space="preserve"> on</w:t>
            </w:r>
            <w:r w:rsidR="00DE7139">
              <w:rPr>
                <w:rFonts w:ascii="Arial" w:hAnsi="Arial" w:cs="Arial"/>
                <w:sz w:val="20"/>
                <w:szCs w:val="20"/>
              </w:rPr>
              <w:t xml:space="preserve"> the needs </w:t>
            </w:r>
            <w:r w:rsidR="004E5906">
              <w:rPr>
                <w:rFonts w:ascii="Arial" w:hAnsi="Arial" w:cs="Arial"/>
                <w:sz w:val="20"/>
                <w:szCs w:val="20"/>
              </w:rPr>
              <w:t>of</w:t>
            </w:r>
            <w:r w:rsidR="00DE7139">
              <w:rPr>
                <w:rFonts w:ascii="Arial" w:hAnsi="Arial" w:cs="Arial"/>
                <w:sz w:val="20"/>
                <w:szCs w:val="20"/>
              </w:rPr>
              <w:t xml:space="preserve"> the teaching profession and sch</w:t>
            </w:r>
            <w:r w:rsidR="004E5906">
              <w:rPr>
                <w:rFonts w:ascii="Arial" w:hAnsi="Arial" w:cs="Arial"/>
                <w:sz w:val="20"/>
                <w:szCs w:val="20"/>
              </w:rPr>
              <w:t xml:space="preserve">ools. Specifics it might cover in </w:t>
            </w:r>
            <w:r w:rsidR="00DE7139">
              <w:rPr>
                <w:rFonts w:ascii="Arial" w:hAnsi="Arial" w:cs="Arial"/>
                <w:sz w:val="20"/>
                <w:szCs w:val="20"/>
              </w:rPr>
              <w:t>the first instance include</w:t>
            </w:r>
            <w:r w:rsidR="00762852" w:rsidRPr="00DE7139">
              <w:rPr>
                <w:rFonts w:ascii="Arial" w:hAnsi="Arial" w:cs="Arial"/>
                <w:sz w:val="20"/>
                <w:szCs w:val="20"/>
              </w:rPr>
              <w:t>:</w:t>
            </w:r>
          </w:p>
          <w:p w14:paraId="1B501FEB" w14:textId="7DF9ADA3" w:rsidR="0050785F" w:rsidRDefault="0050785F" w:rsidP="0050785F">
            <w:pPr>
              <w:pStyle w:val="ListParagraph"/>
              <w:numPr>
                <w:ilvl w:val="0"/>
                <w:numId w:val="4"/>
              </w:numPr>
              <w:rPr>
                <w:rFonts w:ascii="Arial" w:hAnsi="Arial" w:cs="Arial"/>
                <w:color w:val="auto"/>
                <w:sz w:val="20"/>
                <w:szCs w:val="20"/>
              </w:rPr>
            </w:pPr>
            <w:r>
              <w:rPr>
                <w:rFonts w:ascii="Arial" w:hAnsi="Arial" w:cs="Arial"/>
                <w:color w:val="auto"/>
                <w:sz w:val="20"/>
                <w:szCs w:val="20"/>
              </w:rPr>
              <w:t>H</w:t>
            </w:r>
            <w:r w:rsidR="00762852" w:rsidRPr="008D43CE">
              <w:rPr>
                <w:rFonts w:ascii="Arial" w:hAnsi="Arial" w:cs="Arial"/>
                <w:color w:val="auto"/>
                <w:sz w:val="20"/>
                <w:szCs w:val="20"/>
              </w:rPr>
              <w:t>ow well ITE is at developing thinking, critical, research literate and adaptable professionals</w:t>
            </w:r>
            <w:r w:rsidR="00992A83">
              <w:rPr>
                <w:rFonts w:ascii="Arial" w:hAnsi="Arial" w:cs="Arial"/>
                <w:color w:val="auto"/>
                <w:sz w:val="20"/>
                <w:szCs w:val="20"/>
              </w:rPr>
              <w:t xml:space="preserve">. </w:t>
            </w:r>
            <w:r w:rsidR="00FE604F" w:rsidRPr="009C126F">
              <w:rPr>
                <w:rFonts w:ascii="Arial" w:hAnsi="Arial" w:cs="Arial"/>
                <w:color w:val="auto"/>
                <w:sz w:val="20"/>
                <w:szCs w:val="20"/>
              </w:rPr>
              <w:t>Teaching is a challenging, complex, intellectual and ethical endeavour</w:t>
            </w:r>
            <w:r w:rsidR="00FE604F">
              <w:rPr>
                <w:rFonts w:ascii="Arial" w:hAnsi="Arial" w:cs="Arial"/>
                <w:color w:val="auto"/>
                <w:sz w:val="20"/>
                <w:szCs w:val="20"/>
              </w:rPr>
              <w:t xml:space="preserve"> and it is important </w:t>
            </w:r>
            <w:r w:rsidR="007563C7">
              <w:rPr>
                <w:rFonts w:ascii="Arial" w:hAnsi="Arial" w:cs="Arial"/>
                <w:color w:val="auto"/>
                <w:sz w:val="20"/>
                <w:szCs w:val="20"/>
              </w:rPr>
              <w:t>that this is reflected i</w:t>
            </w:r>
            <w:r w:rsidR="00FE604F">
              <w:rPr>
                <w:rFonts w:ascii="Arial" w:hAnsi="Arial" w:cs="Arial"/>
                <w:color w:val="auto"/>
                <w:sz w:val="20"/>
                <w:szCs w:val="20"/>
              </w:rPr>
              <w:t>n how ITE is structured and delivered</w:t>
            </w:r>
            <w:r w:rsidR="00FE604F">
              <w:rPr>
                <w:rStyle w:val="FootnoteReference"/>
                <w:rFonts w:ascii="Arial" w:hAnsi="Arial" w:cs="Arial"/>
                <w:color w:val="auto"/>
                <w:sz w:val="20"/>
                <w:szCs w:val="20"/>
              </w:rPr>
              <w:footnoteReference w:id="6"/>
            </w:r>
            <w:r w:rsidR="002F6DFE">
              <w:rPr>
                <w:rFonts w:ascii="Arial" w:hAnsi="Arial" w:cs="Arial"/>
                <w:color w:val="auto"/>
                <w:sz w:val="20"/>
                <w:szCs w:val="20"/>
              </w:rPr>
              <w:t>.</w:t>
            </w:r>
          </w:p>
          <w:p w14:paraId="56DC98CC" w14:textId="0C75E1CE" w:rsidR="0050785F" w:rsidRDefault="00FE604F" w:rsidP="0050785F">
            <w:pPr>
              <w:pStyle w:val="ListParagraph"/>
              <w:numPr>
                <w:ilvl w:val="0"/>
                <w:numId w:val="4"/>
              </w:numPr>
              <w:rPr>
                <w:rFonts w:ascii="Arial" w:hAnsi="Arial" w:cs="Arial"/>
                <w:sz w:val="20"/>
                <w:szCs w:val="20"/>
              </w:rPr>
            </w:pPr>
            <w:r>
              <w:rPr>
                <w:rFonts w:ascii="Arial" w:hAnsi="Arial" w:cs="Arial"/>
                <w:sz w:val="20"/>
                <w:szCs w:val="20"/>
              </w:rPr>
              <w:t>T</w:t>
            </w:r>
            <w:r w:rsidR="00762852" w:rsidRPr="0050785F">
              <w:rPr>
                <w:rFonts w:ascii="Arial" w:hAnsi="Arial" w:cs="Arial"/>
                <w:sz w:val="20"/>
                <w:szCs w:val="20"/>
              </w:rPr>
              <w:t>he length of ITE programmes</w:t>
            </w:r>
            <w:r>
              <w:rPr>
                <w:rFonts w:ascii="Arial" w:hAnsi="Arial" w:cs="Arial"/>
                <w:sz w:val="20"/>
                <w:szCs w:val="20"/>
              </w:rPr>
              <w:t xml:space="preserve">. For example, how long do ITE programmes need to be to enable </w:t>
            </w:r>
            <w:r w:rsidR="00582AAD">
              <w:rPr>
                <w:rFonts w:ascii="Arial" w:hAnsi="Arial" w:cs="Arial"/>
                <w:sz w:val="20"/>
                <w:szCs w:val="20"/>
              </w:rPr>
              <w:t>undergraduate</w:t>
            </w:r>
            <w:r>
              <w:rPr>
                <w:rFonts w:ascii="Arial" w:hAnsi="Arial" w:cs="Arial"/>
                <w:sz w:val="20"/>
                <w:szCs w:val="20"/>
              </w:rPr>
              <w:t xml:space="preserve"> and postgraduate student teachers to become effective and professional classroom teachers</w:t>
            </w:r>
            <w:r w:rsidR="007563C7">
              <w:rPr>
                <w:rFonts w:ascii="Arial" w:hAnsi="Arial" w:cs="Arial"/>
                <w:sz w:val="20"/>
                <w:szCs w:val="20"/>
              </w:rPr>
              <w:t>?</w:t>
            </w:r>
            <w:r w:rsidR="00950E84">
              <w:rPr>
                <w:rFonts w:ascii="Arial" w:hAnsi="Arial" w:cs="Arial"/>
                <w:sz w:val="20"/>
                <w:szCs w:val="20"/>
              </w:rPr>
              <w:t xml:space="preserve"> What proportion of programmes shou</w:t>
            </w:r>
            <w:r w:rsidR="00295D96">
              <w:rPr>
                <w:rFonts w:ascii="Arial" w:hAnsi="Arial" w:cs="Arial"/>
                <w:sz w:val="20"/>
                <w:szCs w:val="20"/>
              </w:rPr>
              <w:t>l</w:t>
            </w:r>
            <w:r w:rsidR="00950E84">
              <w:rPr>
                <w:rFonts w:ascii="Arial" w:hAnsi="Arial" w:cs="Arial"/>
                <w:sz w:val="20"/>
                <w:szCs w:val="20"/>
              </w:rPr>
              <w:t xml:space="preserve">d be spent </w:t>
            </w:r>
            <w:r w:rsidR="009C126F">
              <w:rPr>
                <w:rFonts w:ascii="Arial" w:hAnsi="Arial" w:cs="Arial"/>
                <w:sz w:val="20"/>
                <w:szCs w:val="20"/>
              </w:rPr>
              <w:t>in school? Should the time</w:t>
            </w:r>
            <w:r w:rsidR="00950E84">
              <w:rPr>
                <w:rFonts w:ascii="Arial" w:hAnsi="Arial" w:cs="Arial"/>
                <w:sz w:val="20"/>
                <w:szCs w:val="20"/>
              </w:rPr>
              <w:t xml:space="preserve"> spent in schools be </w:t>
            </w:r>
            <w:r w:rsidR="00DE7139">
              <w:rPr>
                <w:rFonts w:ascii="Arial" w:hAnsi="Arial" w:cs="Arial"/>
                <w:sz w:val="20"/>
                <w:szCs w:val="20"/>
              </w:rPr>
              <w:t xml:space="preserve">adaptive </w:t>
            </w:r>
            <w:r w:rsidR="00950E84">
              <w:rPr>
                <w:rFonts w:ascii="Arial" w:hAnsi="Arial" w:cs="Arial"/>
                <w:sz w:val="20"/>
                <w:szCs w:val="20"/>
              </w:rPr>
              <w:t>to allow for the needs of particular st</w:t>
            </w:r>
            <w:r w:rsidR="009C126F">
              <w:rPr>
                <w:rFonts w:ascii="Arial" w:hAnsi="Arial" w:cs="Arial"/>
                <w:sz w:val="20"/>
                <w:szCs w:val="20"/>
              </w:rPr>
              <w:t xml:space="preserve">udent </w:t>
            </w:r>
            <w:r w:rsidR="004E5906">
              <w:rPr>
                <w:rFonts w:ascii="Arial" w:hAnsi="Arial" w:cs="Arial"/>
                <w:sz w:val="20"/>
                <w:szCs w:val="20"/>
              </w:rPr>
              <w:t>teachers</w:t>
            </w:r>
            <w:r w:rsidR="009C126F">
              <w:rPr>
                <w:rFonts w:ascii="Arial" w:hAnsi="Arial" w:cs="Arial"/>
                <w:sz w:val="20"/>
                <w:szCs w:val="20"/>
              </w:rPr>
              <w:t xml:space="preserve"> and con</w:t>
            </w:r>
            <w:r w:rsidR="00295D96">
              <w:rPr>
                <w:rFonts w:ascii="Arial" w:hAnsi="Arial" w:cs="Arial"/>
                <w:sz w:val="20"/>
                <w:szCs w:val="20"/>
              </w:rPr>
              <w:t>texts to be taken into account?</w:t>
            </w:r>
          </w:p>
          <w:p w14:paraId="60D56ACC" w14:textId="295CCC8D" w:rsidR="00262453" w:rsidRDefault="00262453" w:rsidP="0050785F">
            <w:pPr>
              <w:pStyle w:val="ListParagraph"/>
              <w:numPr>
                <w:ilvl w:val="0"/>
                <w:numId w:val="4"/>
              </w:numPr>
              <w:rPr>
                <w:rFonts w:ascii="Arial" w:hAnsi="Arial" w:cs="Arial"/>
                <w:sz w:val="20"/>
                <w:szCs w:val="20"/>
              </w:rPr>
            </w:pPr>
            <w:r>
              <w:rPr>
                <w:rFonts w:ascii="Arial" w:hAnsi="Arial" w:cs="Arial"/>
                <w:sz w:val="20"/>
                <w:szCs w:val="20"/>
              </w:rPr>
              <w:t xml:space="preserve">The well-being of student teachers and the impact that assessment procedures and performativity </w:t>
            </w:r>
            <w:r w:rsidR="004E5906">
              <w:rPr>
                <w:rFonts w:ascii="Arial" w:hAnsi="Arial" w:cs="Arial"/>
                <w:sz w:val="20"/>
                <w:szCs w:val="20"/>
              </w:rPr>
              <w:t>mechanisms</w:t>
            </w:r>
            <w:r>
              <w:rPr>
                <w:rFonts w:ascii="Arial" w:hAnsi="Arial" w:cs="Arial"/>
                <w:sz w:val="20"/>
                <w:szCs w:val="20"/>
              </w:rPr>
              <w:t xml:space="preserve"> can have.</w:t>
            </w:r>
          </w:p>
          <w:p w14:paraId="4DD886ED" w14:textId="4A890FB8" w:rsidR="00262453" w:rsidRDefault="00262453" w:rsidP="0050785F">
            <w:pPr>
              <w:pStyle w:val="ListParagraph"/>
              <w:numPr>
                <w:ilvl w:val="0"/>
                <w:numId w:val="4"/>
              </w:numPr>
              <w:rPr>
                <w:rFonts w:ascii="Arial" w:hAnsi="Arial" w:cs="Arial"/>
                <w:sz w:val="20"/>
                <w:szCs w:val="20"/>
              </w:rPr>
            </w:pPr>
            <w:r>
              <w:rPr>
                <w:rFonts w:ascii="Arial" w:hAnsi="Arial" w:cs="Arial"/>
                <w:sz w:val="20"/>
                <w:szCs w:val="20"/>
              </w:rPr>
              <w:t xml:space="preserve">Mentoring, </w:t>
            </w:r>
            <w:r w:rsidR="004E5906">
              <w:rPr>
                <w:rFonts w:ascii="Arial" w:hAnsi="Arial" w:cs="Arial"/>
                <w:sz w:val="20"/>
                <w:szCs w:val="20"/>
              </w:rPr>
              <w:t>including</w:t>
            </w:r>
            <w:r>
              <w:rPr>
                <w:rFonts w:ascii="Arial" w:hAnsi="Arial" w:cs="Arial"/>
                <w:sz w:val="20"/>
                <w:szCs w:val="20"/>
              </w:rPr>
              <w:t xml:space="preserve"> the expectations </w:t>
            </w:r>
            <w:r w:rsidR="000A386B">
              <w:rPr>
                <w:rFonts w:ascii="Arial" w:hAnsi="Arial" w:cs="Arial"/>
                <w:sz w:val="20"/>
                <w:szCs w:val="20"/>
              </w:rPr>
              <w:t>p</w:t>
            </w:r>
            <w:bookmarkStart w:id="0" w:name="_GoBack"/>
            <w:bookmarkEnd w:id="0"/>
            <w:r>
              <w:rPr>
                <w:rFonts w:ascii="Arial" w:hAnsi="Arial" w:cs="Arial"/>
                <w:sz w:val="20"/>
                <w:szCs w:val="20"/>
              </w:rPr>
              <w:t xml:space="preserve">laced on mentors and the support and </w:t>
            </w:r>
            <w:r w:rsidR="004E5906">
              <w:rPr>
                <w:rFonts w:ascii="Arial" w:hAnsi="Arial" w:cs="Arial"/>
                <w:sz w:val="20"/>
                <w:szCs w:val="20"/>
              </w:rPr>
              <w:t>training</w:t>
            </w:r>
            <w:r>
              <w:rPr>
                <w:rFonts w:ascii="Arial" w:hAnsi="Arial" w:cs="Arial"/>
                <w:sz w:val="20"/>
                <w:szCs w:val="20"/>
              </w:rPr>
              <w:t xml:space="preserve"> they receive. </w:t>
            </w:r>
          </w:p>
          <w:p w14:paraId="35862457" w14:textId="2C435806" w:rsidR="00DE7139" w:rsidRDefault="00DE7139" w:rsidP="0050785F">
            <w:pPr>
              <w:pStyle w:val="ListParagraph"/>
              <w:numPr>
                <w:ilvl w:val="0"/>
                <w:numId w:val="4"/>
              </w:numPr>
              <w:rPr>
                <w:rFonts w:ascii="Arial" w:hAnsi="Arial" w:cs="Arial"/>
                <w:sz w:val="20"/>
                <w:szCs w:val="20"/>
              </w:rPr>
            </w:pPr>
            <w:r>
              <w:rPr>
                <w:rFonts w:ascii="Arial" w:hAnsi="Arial" w:cs="Arial"/>
                <w:color w:val="auto"/>
                <w:sz w:val="20"/>
                <w:szCs w:val="20"/>
              </w:rPr>
              <w:t>The way in which the ITE curriculum allows for the integration of both theoretical and practical considerations across the whole partnership</w:t>
            </w:r>
            <w:r w:rsidRPr="008D43CE">
              <w:rPr>
                <w:rFonts w:ascii="Arial" w:hAnsi="Arial" w:cs="Arial"/>
                <w:color w:val="auto"/>
                <w:sz w:val="20"/>
                <w:szCs w:val="20"/>
              </w:rPr>
              <w:t>.</w:t>
            </w:r>
          </w:p>
          <w:p w14:paraId="1296C0CC" w14:textId="16EF580D" w:rsidR="00950E84" w:rsidRPr="0050785F" w:rsidRDefault="009C126F" w:rsidP="0050785F">
            <w:pPr>
              <w:pStyle w:val="ListParagraph"/>
              <w:numPr>
                <w:ilvl w:val="0"/>
                <w:numId w:val="4"/>
              </w:numPr>
              <w:rPr>
                <w:rFonts w:ascii="Arial" w:hAnsi="Arial" w:cs="Arial"/>
                <w:sz w:val="20"/>
                <w:szCs w:val="20"/>
              </w:rPr>
            </w:pPr>
            <w:r>
              <w:rPr>
                <w:rFonts w:ascii="Arial" w:hAnsi="Arial" w:cs="Arial"/>
                <w:sz w:val="20"/>
                <w:szCs w:val="20"/>
              </w:rPr>
              <w:t>The Teacher S</w:t>
            </w:r>
            <w:r w:rsidR="00950E84">
              <w:rPr>
                <w:rFonts w:ascii="Arial" w:hAnsi="Arial" w:cs="Arial"/>
                <w:sz w:val="20"/>
                <w:szCs w:val="20"/>
              </w:rPr>
              <w:t>tandards, which were introduced in 2</w:t>
            </w:r>
            <w:r>
              <w:rPr>
                <w:rFonts w:ascii="Arial" w:hAnsi="Arial" w:cs="Arial"/>
                <w:sz w:val="20"/>
                <w:szCs w:val="20"/>
              </w:rPr>
              <w:t xml:space="preserve">012, </w:t>
            </w:r>
            <w:r w:rsidR="00950E84">
              <w:rPr>
                <w:rFonts w:ascii="Arial" w:hAnsi="Arial" w:cs="Arial"/>
                <w:sz w:val="20"/>
                <w:szCs w:val="20"/>
              </w:rPr>
              <w:t>might now usefully be reviewed. Consideration might be given to the development of a set of progressive standards for teachers at dif</w:t>
            </w:r>
            <w:r w:rsidR="002F6DFE">
              <w:rPr>
                <w:rFonts w:ascii="Arial" w:hAnsi="Arial" w:cs="Arial"/>
                <w:sz w:val="20"/>
                <w:szCs w:val="20"/>
              </w:rPr>
              <w:t>ferent stages of their careers, while avoiding a return to the more atomised and tick-box approaches experienced in the past.</w:t>
            </w:r>
          </w:p>
          <w:p w14:paraId="6D38B0D4" w14:textId="46649F00" w:rsidR="00FE604F" w:rsidRDefault="00FE604F" w:rsidP="0050785F">
            <w:pPr>
              <w:pStyle w:val="ListParagraph"/>
              <w:numPr>
                <w:ilvl w:val="0"/>
                <w:numId w:val="4"/>
              </w:numPr>
              <w:rPr>
                <w:rFonts w:ascii="Arial" w:hAnsi="Arial" w:cs="Arial"/>
                <w:color w:val="auto"/>
                <w:sz w:val="20"/>
                <w:szCs w:val="20"/>
              </w:rPr>
            </w:pPr>
            <w:r>
              <w:rPr>
                <w:rFonts w:ascii="Arial" w:hAnsi="Arial" w:cs="Arial"/>
                <w:color w:val="auto"/>
                <w:sz w:val="20"/>
                <w:szCs w:val="20"/>
              </w:rPr>
              <w:t>T</w:t>
            </w:r>
            <w:r w:rsidR="00762852" w:rsidRPr="008D43CE">
              <w:rPr>
                <w:rFonts w:ascii="Arial" w:hAnsi="Arial" w:cs="Arial"/>
                <w:color w:val="auto"/>
                <w:sz w:val="20"/>
                <w:szCs w:val="20"/>
              </w:rPr>
              <w:t>he relationship between accredited ITE providers and schools</w:t>
            </w:r>
            <w:r>
              <w:rPr>
                <w:rFonts w:ascii="Arial" w:hAnsi="Arial" w:cs="Arial"/>
                <w:color w:val="auto"/>
                <w:sz w:val="20"/>
                <w:szCs w:val="20"/>
              </w:rPr>
              <w:t>, and the different mo</w:t>
            </w:r>
            <w:r w:rsidR="00582AAD">
              <w:rPr>
                <w:rFonts w:ascii="Arial" w:hAnsi="Arial" w:cs="Arial"/>
                <w:color w:val="auto"/>
                <w:sz w:val="20"/>
                <w:szCs w:val="20"/>
              </w:rPr>
              <w:t>d</w:t>
            </w:r>
            <w:r>
              <w:rPr>
                <w:rFonts w:ascii="Arial" w:hAnsi="Arial" w:cs="Arial"/>
                <w:color w:val="auto"/>
                <w:sz w:val="20"/>
                <w:szCs w:val="20"/>
              </w:rPr>
              <w:t xml:space="preserve">els of effective partnership </w:t>
            </w:r>
            <w:r w:rsidR="00582AAD">
              <w:rPr>
                <w:rFonts w:ascii="Arial" w:hAnsi="Arial" w:cs="Arial"/>
                <w:color w:val="auto"/>
                <w:sz w:val="20"/>
                <w:szCs w:val="20"/>
              </w:rPr>
              <w:t xml:space="preserve">and management </w:t>
            </w:r>
            <w:r>
              <w:rPr>
                <w:rFonts w:ascii="Arial" w:hAnsi="Arial" w:cs="Arial"/>
                <w:color w:val="auto"/>
                <w:sz w:val="20"/>
                <w:szCs w:val="20"/>
              </w:rPr>
              <w:t>that should be encouraged</w:t>
            </w:r>
            <w:r w:rsidR="002F6DFE">
              <w:rPr>
                <w:rFonts w:ascii="Arial" w:hAnsi="Arial" w:cs="Arial"/>
                <w:color w:val="auto"/>
                <w:sz w:val="20"/>
                <w:szCs w:val="20"/>
              </w:rPr>
              <w:t>.</w:t>
            </w:r>
          </w:p>
          <w:p w14:paraId="666F0E7A" w14:textId="42FB8BE6" w:rsidR="0050785F" w:rsidRDefault="00FE604F" w:rsidP="0050785F">
            <w:pPr>
              <w:pStyle w:val="ListParagraph"/>
              <w:numPr>
                <w:ilvl w:val="0"/>
                <w:numId w:val="4"/>
              </w:numPr>
              <w:rPr>
                <w:rFonts w:ascii="Arial" w:hAnsi="Arial" w:cs="Arial"/>
                <w:color w:val="auto"/>
                <w:sz w:val="20"/>
                <w:szCs w:val="20"/>
              </w:rPr>
            </w:pPr>
            <w:r>
              <w:rPr>
                <w:rFonts w:ascii="Arial" w:hAnsi="Arial" w:cs="Arial"/>
                <w:color w:val="auto"/>
                <w:sz w:val="20"/>
                <w:szCs w:val="20"/>
              </w:rPr>
              <w:t>T</w:t>
            </w:r>
            <w:r w:rsidR="00762852" w:rsidRPr="008D43CE">
              <w:rPr>
                <w:rFonts w:ascii="Arial" w:hAnsi="Arial" w:cs="Arial"/>
                <w:color w:val="auto"/>
                <w:sz w:val="20"/>
                <w:szCs w:val="20"/>
              </w:rPr>
              <w:t>he link between ITE and early and ongoing professional development</w:t>
            </w:r>
            <w:r>
              <w:rPr>
                <w:rFonts w:ascii="Arial" w:hAnsi="Arial" w:cs="Arial"/>
                <w:color w:val="auto"/>
                <w:sz w:val="20"/>
                <w:szCs w:val="20"/>
              </w:rPr>
              <w:t xml:space="preserve"> across the course of a teacher’s professional career. How each stage of professional learning should build on what has come before, keep teachers up to date with emerging research a</w:t>
            </w:r>
            <w:r w:rsidR="007563C7">
              <w:rPr>
                <w:rFonts w:ascii="Arial" w:hAnsi="Arial" w:cs="Arial"/>
                <w:color w:val="auto"/>
                <w:sz w:val="20"/>
                <w:szCs w:val="20"/>
              </w:rPr>
              <w:t xml:space="preserve">nd ensure </w:t>
            </w:r>
            <w:r>
              <w:rPr>
                <w:rFonts w:ascii="Arial" w:hAnsi="Arial" w:cs="Arial"/>
                <w:color w:val="auto"/>
                <w:sz w:val="20"/>
                <w:szCs w:val="20"/>
              </w:rPr>
              <w:t xml:space="preserve">up to date </w:t>
            </w:r>
            <w:r w:rsidR="002F6DFE">
              <w:rPr>
                <w:rFonts w:ascii="Arial" w:hAnsi="Arial" w:cs="Arial"/>
                <w:color w:val="auto"/>
                <w:sz w:val="20"/>
                <w:szCs w:val="20"/>
              </w:rPr>
              <w:t>subject and pedagogic knowledge.</w:t>
            </w:r>
          </w:p>
          <w:p w14:paraId="6827717B" w14:textId="24FD1E15" w:rsidR="00FE604F" w:rsidRDefault="00FE604F" w:rsidP="0050785F">
            <w:pPr>
              <w:pStyle w:val="ListParagraph"/>
              <w:numPr>
                <w:ilvl w:val="0"/>
                <w:numId w:val="4"/>
              </w:numPr>
              <w:rPr>
                <w:rFonts w:ascii="Arial" w:hAnsi="Arial" w:cs="Arial"/>
                <w:sz w:val="20"/>
                <w:szCs w:val="20"/>
              </w:rPr>
            </w:pPr>
            <w:r>
              <w:rPr>
                <w:rFonts w:ascii="Arial" w:hAnsi="Arial" w:cs="Arial"/>
                <w:sz w:val="20"/>
                <w:szCs w:val="20"/>
              </w:rPr>
              <w:t>T</w:t>
            </w:r>
            <w:r w:rsidR="00762852" w:rsidRPr="0050785F">
              <w:rPr>
                <w:rFonts w:ascii="Arial" w:hAnsi="Arial" w:cs="Arial"/>
                <w:sz w:val="20"/>
                <w:szCs w:val="20"/>
              </w:rPr>
              <w:t xml:space="preserve">he appropriate balance </w:t>
            </w:r>
            <w:r w:rsidR="004A57FE" w:rsidRPr="0050785F">
              <w:rPr>
                <w:rFonts w:ascii="Arial" w:hAnsi="Arial" w:cs="Arial"/>
                <w:sz w:val="20"/>
                <w:szCs w:val="20"/>
              </w:rPr>
              <w:t>between</w:t>
            </w:r>
            <w:r w:rsidR="00762852" w:rsidRPr="0050785F">
              <w:rPr>
                <w:rFonts w:ascii="Arial" w:hAnsi="Arial" w:cs="Arial"/>
                <w:sz w:val="20"/>
                <w:szCs w:val="20"/>
              </w:rPr>
              <w:t xml:space="preserve"> consistency of provision and scope for </w:t>
            </w:r>
            <w:r w:rsidR="004A57FE" w:rsidRPr="0050785F">
              <w:rPr>
                <w:rFonts w:ascii="Arial" w:hAnsi="Arial" w:cs="Arial"/>
                <w:sz w:val="20"/>
                <w:szCs w:val="20"/>
              </w:rPr>
              <w:t>contextualisatio</w:t>
            </w:r>
            <w:r>
              <w:rPr>
                <w:rFonts w:ascii="Arial" w:hAnsi="Arial" w:cs="Arial"/>
                <w:sz w:val="20"/>
                <w:szCs w:val="20"/>
              </w:rPr>
              <w:t xml:space="preserve">n. As </w:t>
            </w:r>
            <w:r w:rsidR="00582AAD">
              <w:rPr>
                <w:rFonts w:ascii="Arial" w:hAnsi="Arial" w:cs="Arial"/>
                <w:sz w:val="20"/>
                <w:szCs w:val="20"/>
              </w:rPr>
              <w:t>teachers</w:t>
            </w:r>
            <w:r>
              <w:rPr>
                <w:rFonts w:ascii="Arial" w:hAnsi="Arial" w:cs="Arial"/>
                <w:sz w:val="20"/>
                <w:szCs w:val="20"/>
              </w:rPr>
              <w:t xml:space="preserve"> will become part of a profession that will allow them to teach in a variety of schools it is reasonable to ex</w:t>
            </w:r>
            <w:r w:rsidR="00DD7202">
              <w:rPr>
                <w:rFonts w:ascii="Arial" w:hAnsi="Arial" w:cs="Arial"/>
                <w:sz w:val="20"/>
                <w:szCs w:val="20"/>
              </w:rPr>
              <w:t xml:space="preserve">pect that </w:t>
            </w:r>
            <w:r>
              <w:rPr>
                <w:rFonts w:ascii="Arial" w:hAnsi="Arial" w:cs="Arial"/>
                <w:sz w:val="20"/>
                <w:szCs w:val="20"/>
              </w:rPr>
              <w:t xml:space="preserve">ITE </w:t>
            </w:r>
            <w:r w:rsidR="00DD7202">
              <w:rPr>
                <w:rFonts w:ascii="Arial" w:hAnsi="Arial" w:cs="Arial"/>
                <w:sz w:val="20"/>
                <w:szCs w:val="20"/>
              </w:rPr>
              <w:t xml:space="preserve">is </w:t>
            </w:r>
            <w:r w:rsidR="00582AAD">
              <w:rPr>
                <w:rFonts w:ascii="Arial" w:hAnsi="Arial" w:cs="Arial"/>
                <w:sz w:val="20"/>
                <w:szCs w:val="20"/>
              </w:rPr>
              <w:t>delivered</w:t>
            </w:r>
            <w:r w:rsidR="00DD7202">
              <w:rPr>
                <w:rFonts w:ascii="Arial" w:hAnsi="Arial" w:cs="Arial"/>
                <w:sz w:val="20"/>
                <w:szCs w:val="20"/>
              </w:rPr>
              <w:t xml:space="preserve"> through agreed frameworks and provides new teachers with a common professional base of knowledge and understanding. It is</w:t>
            </w:r>
            <w:r w:rsidR="007563C7">
              <w:rPr>
                <w:rFonts w:ascii="Arial" w:hAnsi="Arial" w:cs="Arial"/>
                <w:sz w:val="20"/>
                <w:szCs w:val="20"/>
              </w:rPr>
              <w:t xml:space="preserve"> however</w:t>
            </w:r>
            <w:r w:rsidR="009C126F">
              <w:rPr>
                <w:rFonts w:ascii="Arial" w:hAnsi="Arial" w:cs="Arial"/>
                <w:sz w:val="20"/>
                <w:szCs w:val="20"/>
              </w:rPr>
              <w:t xml:space="preserve"> also important </w:t>
            </w:r>
            <w:r w:rsidR="00DD7202">
              <w:rPr>
                <w:rFonts w:ascii="Arial" w:hAnsi="Arial" w:cs="Arial"/>
                <w:sz w:val="20"/>
                <w:szCs w:val="20"/>
              </w:rPr>
              <w:t xml:space="preserve">that their ITE reflects the particular contexts and needs of the schools and communities in </w:t>
            </w:r>
            <w:r w:rsidR="00582AAD">
              <w:rPr>
                <w:rFonts w:ascii="Arial" w:hAnsi="Arial" w:cs="Arial"/>
                <w:sz w:val="20"/>
                <w:szCs w:val="20"/>
              </w:rPr>
              <w:t>which</w:t>
            </w:r>
            <w:r w:rsidR="00DD7202">
              <w:rPr>
                <w:rFonts w:ascii="Arial" w:hAnsi="Arial" w:cs="Arial"/>
                <w:sz w:val="20"/>
                <w:szCs w:val="20"/>
              </w:rPr>
              <w:t xml:space="preserve"> they undertake their ITE.</w:t>
            </w:r>
            <w:r w:rsidR="00262453">
              <w:rPr>
                <w:rFonts w:ascii="Arial" w:hAnsi="Arial" w:cs="Arial"/>
                <w:sz w:val="20"/>
                <w:szCs w:val="20"/>
              </w:rPr>
              <w:t xml:space="preserve"> Schools involved in teacher education should be equipped to balance their needs and priorities with those </w:t>
            </w:r>
            <w:r w:rsidR="004E5906">
              <w:rPr>
                <w:rFonts w:ascii="Arial" w:hAnsi="Arial" w:cs="Arial"/>
                <w:sz w:val="20"/>
                <w:szCs w:val="20"/>
              </w:rPr>
              <w:t>of</w:t>
            </w:r>
            <w:r w:rsidR="00262453">
              <w:rPr>
                <w:rFonts w:ascii="Arial" w:hAnsi="Arial" w:cs="Arial"/>
                <w:sz w:val="20"/>
                <w:szCs w:val="20"/>
              </w:rPr>
              <w:t xml:space="preserve"> the </w:t>
            </w:r>
            <w:r w:rsidR="004E5906">
              <w:rPr>
                <w:rFonts w:ascii="Arial" w:hAnsi="Arial" w:cs="Arial"/>
                <w:sz w:val="20"/>
                <w:szCs w:val="20"/>
              </w:rPr>
              <w:t>profession</w:t>
            </w:r>
            <w:r w:rsidR="00262453">
              <w:rPr>
                <w:rFonts w:ascii="Arial" w:hAnsi="Arial" w:cs="Arial"/>
                <w:sz w:val="20"/>
                <w:szCs w:val="20"/>
              </w:rPr>
              <w:t xml:space="preserve"> as a whole. </w:t>
            </w:r>
          </w:p>
          <w:p w14:paraId="74F5A086" w14:textId="194ED6E9" w:rsidR="0050785F" w:rsidRPr="0050785F" w:rsidRDefault="00DD7202" w:rsidP="0050785F">
            <w:pPr>
              <w:pStyle w:val="ListParagraph"/>
              <w:numPr>
                <w:ilvl w:val="0"/>
                <w:numId w:val="4"/>
              </w:numPr>
              <w:rPr>
                <w:rFonts w:ascii="Arial" w:hAnsi="Arial" w:cs="Arial"/>
                <w:sz w:val="20"/>
                <w:szCs w:val="20"/>
              </w:rPr>
            </w:pPr>
            <w:r>
              <w:rPr>
                <w:rFonts w:ascii="Arial" w:hAnsi="Arial" w:cs="Arial"/>
                <w:sz w:val="20"/>
                <w:szCs w:val="20"/>
              </w:rPr>
              <w:t>T</w:t>
            </w:r>
            <w:r w:rsidR="008C1B2F" w:rsidRPr="0050785F">
              <w:rPr>
                <w:rFonts w:ascii="Arial" w:hAnsi="Arial" w:cs="Arial"/>
                <w:sz w:val="20"/>
                <w:szCs w:val="20"/>
              </w:rPr>
              <w:t xml:space="preserve">he lessons learned from the </w:t>
            </w:r>
            <w:proofErr w:type="spellStart"/>
            <w:r w:rsidR="008C1B2F" w:rsidRPr="0050785F">
              <w:rPr>
                <w:rFonts w:ascii="Arial" w:hAnsi="Arial" w:cs="Arial"/>
                <w:sz w:val="20"/>
                <w:szCs w:val="20"/>
              </w:rPr>
              <w:t>Covid</w:t>
            </w:r>
            <w:proofErr w:type="spellEnd"/>
            <w:r w:rsidR="008C1B2F" w:rsidRPr="0050785F">
              <w:rPr>
                <w:rFonts w:ascii="Arial" w:hAnsi="Arial" w:cs="Arial"/>
                <w:sz w:val="20"/>
                <w:szCs w:val="20"/>
              </w:rPr>
              <w:t xml:space="preserve"> 19 pandemic</w:t>
            </w:r>
            <w:r w:rsidR="009C126F">
              <w:rPr>
                <w:rFonts w:ascii="Arial" w:hAnsi="Arial" w:cs="Arial"/>
                <w:sz w:val="20"/>
                <w:szCs w:val="20"/>
              </w:rPr>
              <w:t>, for example</w:t>
            </w:r>
            <w:r>
              <w:rPr>
                <w:rFonts w:ascii="Arial" w:hAnsi="Arial" w:cs="Arial"/>
                <w:sz w:val="20"/>
                <w:szCs w:val="20"/>
              </w:rPr>
              <w:t xml:space="preserve"> how new approaches to teaching and programme delivery might be carried forward into the post-pandemic world</w:t>
            </w:r>
            <w:r w:rsidR="00DE7139">
              <w:rPr>
                <w:rFonts w:ascii="Arial" w:hAnsi="Arial" w:cs="Arial"/>
                <w:sz w:val="20"/>
                <w:szCs w:val="20"/>
              </w:rPr>
              <w:t>.</w:t>
            </w:r>
          </w:p>
          <w:p w14:paraId="4345567B" w14:textId="73B9AF47" w:rsidR="00762852" w:rsidRPr="008D43CE" w:rsidRDefault="00762852" w:rsidP="00DE7139">
            <w:pPr>
              <w:pStyle w:val="ListParagraph"/>
              <w:ind w:left="743" w:firstLine="0"/>
              <w:rPr>
                <w:rFonts w:ascii="Arial" w:hAnsi="Arial" w:cs="Arial"/>
                <w:color w:val="auto"/>
                <w:sz w:val="20"/>
                <w:szCs w:val="20"/>
              </w:rPr>
            </w:pPr>
          </w:p>
        </w:tc>
      </w:tr>
    </w:tbl>
    <w:p w14:paraId="3186835F" w14:textId="77777777" w:rsidR="00A2693B" w:rsidRDefault="00A2693B">
      <w:r>
        <w:br w:type="page"/>
      </w:r>
    </w:p>
    <w:tbl>
      <w:tblPr>
        <w:tblStyle w:val="TableGrid"/>
        <w:tblW w:w="0" w:type="auto"/>
        <w:tblLook w:val="04A0" w:firstRow="1" w:lastRow="0" w:firstColumn="1" w:lastColumn="0" w:noHBand="0" w:noVBand="1"/>
      </w:tblPr>
      <w:tblGrid>
        <w:gridCol w:w="9016"/>
      </w:tblGrid>
      <w:tr w:rsidR="00530C19" w14:paraId="02F23165" w14:textId="77777777" w:rsidTr="00530C19">
        <w:tc>
          <w:tcPr>
            <w:tcW w:w="9016" w:type="dxa"/>
          </w:tcPr>
          <w:p w14:paraId="448A2675" w14:textId="439DAFD0" w:rsidR="00530C19" w:rsidRPr="00BF1365" w:rsidRDefault="00282B50" w:rsidP="00BF1365">
            <w:pPr>
              <w:pStyle w:val="ListParagraph"/>
              <w:ind w:left="318" w:hanging="318"/>
              <w:rPr>
                <w:rFonts w:ascii="Arial" w:hAnsi="Arial" w:cs="Arial"/>
                <w:b/>
                <w:color w:val="auto"/>
              </w:rPr>
            </w:pPr>
            <w:r w:rsidRPr="00BF1365">
              <w:rPr>
                <w:rFonts w:ascii="Arial" w:hAnsi="Arial" w:cs="Arial"/>
                <w:b/>
                <w:color w:val="auto"/>
              </w:rPr>
              <w:lastRenderedPageBreak/>
              <w:t xml:space="preserve">5.  </w:t>
            </w:r>
            <w:r w:rsidR="00A2693B" w:rsidRPr="00BF1365">
              <w:rPr>
                <w:rFonts w:ascii="Arial" w:hAnsi="Arial" w:cs="Arial"/>
                <w:b/>
                <w:color w:val="auto"/>
              </w:rPr>
              <w:t xml:space="preserve">If it is decided to implement </w:t>
            </w:r>
            <w:r w:rsidR="00EC7F5A" w:rsidRPr="00BF1365">
              <w:rPr>
                <w:rFonts w:ascii="Arial" w:hAnsi="Arial" w:cs="Arial"/>
                <w:b/>
                <w:color w:val="auto"/>
              </w:rPr>
              <w:t>significant change to the provision of ITE, w</w:t>
            </w:r>
            <w:r w:rsidR="00530C19" w:rsidRPr="00BF1365">
              <w:rPr>
                <w:rFonts w:ascii="Arial" w:hAnsi="Arial" w:cs="Arial"/>
                <w:b/>
                <w:color w:val="auto"/>
              </w:rPr>
              <w:t xml:space="preserve">hat </w:t>
            </w:r>
            <w:r w:rsidR="00EC7F5A" w:rsidRPr="00BF1365">
              <w:rPr>
                <w:rFonts w:ascii="Arial" w:hAnsi="Arial" w:cs="Arial"/>
                <w:b/>
                <w:color w:val="auto"/>
              </w:rPr>
              <w:t>would be</w:t>
            </w:r>
            <w:r w:rsidR="00530C19" w:rsidRPr="00BF1365">
              <w:rPr>
                <w:rFonts w:ascii="Arial" w:hAnsi="Arial" w:cs="Arial"/>
                <w:b/>
                <w:color w:val="auto"/>
              </w:rPr>
              <w:t xml:space="preserve"> the best timing for any change?</w:t>
            </w:r>
          </w:p>
        </w:tc>
      </w:tr>
      <w:tr w:rsidR="00530C19" w14:paraId="452F4470" w14:textId="77777777" w:rsidTr="00917C54">
        <w:trPr>
          <w:trHeight w:hRule="exact" w:val="10773"/>
        </w:trPr>
        <w:tc>
          <w:tcPr>
            <w:tcW w:w="9016" w:type="dxa"/>
          </w:tcPr>
          <w:p w14:paraId="6618D109" w14:textId="77777777" w:rsidR="004A57FE" w:rsidRDefault="004A57FE" w:rsidP="00282B50">
            <w:pPr>
              <w:pStyle w:val="ListParagraph"/>
              <w:ind w:left="23" w:firstLine="0"/>
              <w:rPr>
                <w:rFonts w:ascii="Arial" w:hAnsi="Arial" w:cs="Arial"/>
                <w:color w:val="auto"/>
                <w:sz w:val="20"/>
                <w:szCs w:val="20"/>
              </w:rPr>
            </w:pPr>
          </w:p>
          <w:p w14:paraId="205DAFD5" w14:textId="1ABC6901" w:rsidR="00530C19" w:rsidRPr="008C1B2F" w:rsidRDefault="008C1B2F" w:rsidP="00282B50">
            <w:pPr>
              <w:pStyle w:val="ListParagraph"/>
              <w:ind w:left="23" w:firstLine="0"/>
              <w:rPr>
                <w:rFonts w:ascii="Arial" w:hAnsi="Arial" w:cs="Arial"/>
                <w:color w:val="auto"/>
                <w:sz w:val="20"/>
                <w:szCs w:val="20"/>
              </w:rPr>
            </w:pPr>
            <w:r>
              <w:rPr>
                <w:rFonts w:ascii="Arial" w:hAnsi="Arial" w:cs="Arial"/>
                <w:color w:val="auto"/>
                <w:sz w:val="20"/>
                <w:szCs w:val="20"/>
              </w:rPr>
              <w:t>There is no need to rush</w:t>
            </w:r>
            <w:r w:rsidR="007563C7">
              <w:rPr>
                <w:rFonts w:ascii="Arial" w:hAnsi="Arial" w:cs="Arial"/>
                <w:color w:val="auto"/>
                <w:sz w:val="20"/>
                <w:szCs w:val="20"/>
              </w:rPr>
              <w:t>. We know that ITE is generally</w:t>
            </w:r>
            <w:r>
              <w:rPr>
                <w:rFonts w:ascii="Arial" w:hAnsi="Arial" w:cs="Arial"/>
                <w:color w:val="auto"/>
                <w:sz w:val="20"/>
                <w:szCs w:val="20"/>
              </w:rPr>
              <w:t xml:space="preserve"> fit for purpose. The review of ITE suggested above should take place over a 12-18 month period. The timescale for the introduction of any reforms will depend on what is recommended. But any change </w:t>
            </w:r>
            <w:r w:rsidR="004A57FE">
              <w:rPr>
                <w:rFonts w:ascii="Arial" w:hAnsi="Arial" w:cs="Arial"/>
                <w:color w:val="auto"/>
                <w:sz w:val="20"/>
                <w:szCs w:val="20"/>
              </w:rPr>
              <w:t>should</w:t>
            </w:r>
            <w:r>
              <w:rPr>
                <w:rFonts w:ascii="Arial" w:hAnsi="Arial" w:cs="Arial"/>
                <w:color w:val="auto"/>
                <w:sz w:val="20"/>
                <w:szCs w:val="20"/>
              </w:rPr>
              <w:t xml:space="preserve"> be evolutionary and </w:t>
            </w:r>
            <w:r w:rsidR="004A57FE">
              <w:rPr>
                <w:rFonts w:ascii="Arial" w:hAnsi="Arial" w:cs="Arial"/>
                <w:color w:val="auto"/>
                <w:sz w:val="20"/>
                <w:szCs w:val="20"/>
              </w:rPr>
              <w:t>should</w:t>
            </w:r>
            <w:r>
              <w:rPr>
                <w:rFonts w:ascii="Arial" w:hAnsi="Arial" w:cs="Arial"/>
                <w:color w:val="auto"/>
                <w:sz w:val="20"/>
                <w:szCs w:val="20"/>
              </w:rPr>
              <w:t xml:space="preserve"> build on existing strengths</w:t>
            </w:r>
            <w:r w:rsidR="00DE7139">
              <w:rPr>
                <w:rFonts w:ascii="Arial" w:hAnsi="Arial" w:cs="Arial"/>
                <w:color w:val="auto"/>
                <w:sz w:val="20"/>
                <w:szCs w:val="20"/>
              </w:rPr>
              <w:t xml:space="preserve"> and ensure that recruitment in areas of </w:t>
            </w:r>
            <w:r w:rsidR="004E5906">
              <w:rPr>
                <w:rFonts w:ascii="Arial" w:hAnsi="Arial" w:cs="Arial"/>
                <w:color w:val="auto"/>
                <w:sz w:val="20"/>
                <w:szCs w:val="20"/>
              </w:rPr>
              <w:t>teacher</w:t>
            </w:r>
            <w:r w:rsidR="00DE7139">
              <w:rPr>
                <w:rFonts w:ascii="Arial" w:hAnsi="Arial" w:cs="Arial"/>
                <w:color w:val="auto"/>
                <w:sz w:val="20"/>
                <w:szCs w:val="20"/>
              </w:rPr>
              <w:t xml:space="preserve"> shortage, and in subjects that are already difficult to recruit to, are protected</w:t>
            </w:r>
            <w:r>
              <w:rPr>
                <w:rFonts w:ascii="Arial" w:hAnsi="Arial" w:cs="Arial"/>
                <w:color w:val="auto"/>
                <w:sz w:val="20"/>
                <w:szCs w:val="20"/>
              </w:rPr>
              <w:t xml:space="preserve">. It is extremely unlikely that a wholly new system will have to be introduced and the existing system dismantled. A period of 2-3 years should, depending on what is recommended, give the sector time to adjust, </w:t>
            </w:r>
            <w:r w:rsidR="004A57FE">
              <w:rPr>
                <w:rFonts w:ascii="Arial" w:hAnsi="Arial" w:cs="Arial"/>
                <w:color w:val="auto"/>
                <w:sz w:val="20"/>
                <w:szCs w:val="20"/>
              </w:rPr>
              <w:t>trail and</w:t>
            </w:r>
            <w:r>
              <w:rPr>
                <w:rFonts w:ascii="Arial" w:hAnsi="Arial" w:cs="Arial"/>
                <w:color w:val="auto"/>
                <w:sz w:val="20"/>
                <w:szCs w:val="20"/>
              </w:rPr>
              <w:t xml:space="preserve"> embed any required changes. </w:t>
            </w:r>
          </w:p>
        </w:tc>
      </w:tr>
    </w:tbl>
    <w:p w14:paraId="41616729" w14:textId="77777777" w:rsidR="00530C19" w:rsidRDefault="00530C19" w:rsidP="00530C19"/>
    <w:p w14:paraId="6DF6A373" w14:textId="77777777" w:rsidR="00C30B47" w:rsidRDefault="00C30B47" w:rsidP="00530C19"/>
    <w:sectPr w:rsidR="00C30B47" w:rsidSect="00282B50">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8C5B" w14:textId="77777777" w:rsidR="00F20D56" w:rsidRDefault="00F20D56" w:rsidP="00282B50">
      <w:r>
        <w:separator/>
      </w:r>
    </w:p>
  </w:endnote>
  <w:endnote w:type="continuationSeparator" w:id="0">
    <w:p w14:paraId="7E0AD998" w14:textId="77777777" w:rsidR="00F20D56" w:rsidRDefault="00F20D56" w:rsidP="0028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83899"/>
      <w:docPartObj>
        <w:docPartGallery w:val="Page Numbers (Bottom of Page)"/>
        <w:docPartUnique/>
      </w:docPartObj>
    </w:sdtPr>
    <w:sdtEndPr>
      <w:rPr>
        <w:noProof/>
      </w:rPr>
    </w:sdtEndPr>
    <w:sdtContent>
      <w:p w14:paraId="4CDB7587" w14:textId="77777777" w:rsidR="00282B50" w:rsidRDefault="00282B50">
        <w:pPr>
          <w:pStyle w:val="Footer"/>
          <w:jc w:val="center"/>
        </w:pPr>
        <w:r>
          <w:fldChar w:fldCharType="begin"/>
        </w:r>
        <w:r>
          <w:instrText xml:space="preserve"> PAGE   \* MERGEFORMAT </w:instrText>
        </w:r>
        <w:r>
          <w:fldChar w:fldCharType="separate"/>
        </w:r>
        <w:r w:rsidR="000A386B">
          <w:rPr>
            <w:noProof/>
          </w:rPr>
          <w:t>8</w:t>
        </w:r>
        <w:r>
          <w:rPr>
            <w:noProof/>
          </w:rPr>
          <w:fldChar w:fldCharType="end"/>
        </w:r>
      </w:p>
    </w:sdtContent>
  </w:sdt>
  <w:p w14:paraId="1A38A82B" w14:textId="77777777" w:rsidR="00282B50" w:rsidRDefault="0028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689D9" w14:textId="77777777" w:rsidR="00F20D56" w:rsidRDefault="00F20D56" w:rsidP="00282B50">
      <w:r>
        <w:separator/>
      </w:r>
    </w:p>
  </w:footnote>
  <w:footnote w:type="continuationSeparator" w:id="0">
    <w:p w14:paraId="439865F9" w14:textId="77777777" w:rsidR="00F20D56" w:rsidRDefault="00F20D56" w:rsidP="00282B50">
      <w:r>
        <w:continuationSeparator/>
      </w:r>
    </w:p>
  </w:footnote>
  <w:footnote w:id="1">
    <w:p w14:paraId="24FBA477" w14:textId="4AB55176" w:rsidR="008037CF" w:rsidRDefault="008037CF">
      <w:pPr>
        <w:pStyle w:val="FootnoteText"/>
      </w:pPr>
      <w:r>
        <w:rPr>
          <w:rStyle w:val="FootnoteReference"/>
        </w:rPr>
        <w:footnoteRef/>
      </w:r>
      <w:r>
        <w:t xml:space="preserve"> </w:t>
      </w:r>
      <w:proofErr w:type="spellStart"/>
      <w:r>
        <w:t>OfSTED</w:t>
      </w:r>
      <w:proofErr w:type="spellEnd"/>
      <w:r>
        <w:t xml:space="preserve"> annual report, 1 December 2020</w:t>
      </w:r>
      <w:r w:rsidR="000A386B">
        <w:t>.</w:t>
      </w:r>
    </w:p>
  </w:footnote>
  <w:footnote w:id="2">
    <w:p w14:paraId="4B28856A" w14:textId="2902F422" w:rsidR="00F962D4" w:rsidRDefault="00F962D4" w:rsidP="00F962D4">
      <w:pPr>
        <w:pStyle w:val="FootnoteText"/>
      </w:pPr>
      <w:r>
        <w:rPr>
          <w:rStyle w:val="FootnoteReference"/>
        </w:rPr>
        <w:footnoteRef/>
      </w:r>
      <w:r>
        <w:t xml:space="preserve"> NQT annual survey 2017, </w:t>
      </w:r>
      <w:proofErr w:type="spellStart"/>
      <w:r>
        <w:t>DfE</w:t>
      </w:r>
      <w:proofErr w:type="spellEnd"/>
      <w:r>
        <w:t xml:space="preserve"> 5 September 2018</w:t>
      </w:r>
      <w:r w:rsidR="000A386B">
        <w:t>.</w:t>
      </w:r>
    </w:p>
  </w:footnote>
  <w:footnote w:id="3">
    <w:p w14:paraId="46D92456" w14:textId="715C9524" w:rsidR="00B23FBE" w:rsidRDefault="00B23FBE">
      <w:pPr>
        <w:pStyle w:val="FootnoteText"/>
      </w:pPr>
      <w:r>
        <w:rPr>
          <w:rStyle w:val="FootnoteReference"/>
        </w:rPr>
        <w:footnoteRef/>
      </w:r>
      <w:r>
        <w:t xml:space="preserve"> UCET, 22 March 2021</w:t>
      </w:r>
      <w:r w:rsidR="000A386B">
        <w:t>.</w:t>
      </w:r>
    </w:p>
  </w:footnote>
  <w:footnote w:id="4">
    <w:p w14:paraId="0B42376A" w14:textId="07D26949" w:rsidR="009729C7" w:rsidRDefault="009729C7" w:rsidP="009729C7">
      <w:pPr>
        <w:pStyle w:val="FootnoteText"/>
      </w:pPr>
      <w:r>
        <w:rPr>
          <w:rStyle w:val="FootnoteReference"/>
        </w:rPr>
        <w:footnoteRef/>
      </w:r>
      <w:r>
        <w:t xml:space="preserve"> Hagger H, Mutton T &amp; Burn K (2011): </w:t>
      </w:r>
      <w:r w:rsidRPr="009C126F">
        <w:rPr>
          <w:i/>
        </w:rPr>
        <w:t>Cambridge Journal of Education</w:t>
      </w:r>
      <w:r>
        <w:t xml:space="preserve">, 41 (4) &amp; Burn K, Mutton T &amp; Hagger H, ‘Strengthening and sustaining professional learning in the second year of teaching’, </w:t>
      </w:r>
      <w:r w:rsidRPr="009C126F">
        <w:rPr>
          <w:i/>
        </w:rPr>
        <w:t>Oxford Review of Education</w:t>
      </w:r>
      <w:r>
        <w:t xml:space="preserve"> 36(6)</w:t>
      </w:r>
      <w:r w:rsidR="000A386B">
        <w:t>.</w:t>
      </w:r>
    </w:p>
  </w:footnote>
  <w:footnote w:id="5">
    <w:p w14:paraId="4323B058" w14:textId="2E1DDBE1" w:rsidR="00F962D4" w:rsidRDefault="00F962D4">
      <w:pPr>
        <w:pStyle w:val="FootnoteText"/>
      </w:pPr>
      <w:r>
        <w:rPr>
          <w:rStyle w:val="FootnoteReference"/>
        </w:rPr>
        <w:footnoteRef/>
      </w:r>
      <w:r>
        <w:t xml:space="preserve"> A longitudinal review of the </w:t>
      </w:r>
      <w:r w:rsidR="004E5906">
        <w:t>postgraduate</w:t>
      </w:r>
      <w:r>
        <w:t xml:space="preserve"> professional development of </w:t>
      </w:r>
      <w:r w:rsidR="004E5906">
        <w:t>teachers</w:t>
      </w:r>
      <w:r>
        <w:t>, TDA 2020</w:t>
      </w:r>
      <w:r w:rsidR="000A386B">
        <w:t>.</w:t>
      </w:r>
    </w:p>
  </w:footnote>
  <w:footnote w:id="6">
    <w:p w14:paraId="7260DF69" w14:textId="27D08637" w:rsidR="00FE604F" w:rsidRDefault="00FE604F">
      <w:pPr>
        <w:pStyle w:val="FootnoteText"/>
      </w:pPr>
      <w:r>
        <w:rPr>
          <w:rStyle w:val="FootnoteReference"/>
        </w:rPr>
        <w:footnoteRef/>
      </w:r>
      <w:r>
        <w:t xml:space="preserve"> Intellectual Base of Teacher Education, UCET January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3" w:type="dxa"/>
      <w:tblLook w:val="04A0" w:firstRow="1" w:lastRow="0" w:firstColumn="1" w:lastColumn="0" w:noHBand="0" w:noVBand="1"/>
    </w:tblPr>
    <w:tblGrid>
      <w:gridCol w:w="2263"/>
      <w:gridCol w:w="7230"/>
    </w:tblGrid>
    <w:tr w:rsidR="00917C54" w:rsidRPr="00917C54" w14:paraId="3FAFE36C" w14:textId="77777777" w:rsidTr="00917C54">
      <w:trPr>
        <w:trHeight w:val="397"/>
      </w:trPr>
      <w:tc>
        <w:tcPr>
          <w:tcW w:w="2263" w:type="dxa"/>
          <w:vAlign w:val="center"/>
        </w:tcPr>
        <w:p w14:paraId="23449034" w14:textId="77777777" w:rsidR="00917C54" w:rsidRPr="00917C54" w:rsidRDefault="00917C54" w:rsidP="00917C54">
          <w:pPr>
            <w:rPr>
              <w:rFonts w:ascii="Arial" w:hAnsi="Arial" w:cs="Arial"/>
              <w:b/>
            </w:rPr>
          </w:pPr>
          <w:r w:rsidRPr="00917C54">
            <w:rPr>
              <w:rFonts w:ascii="Arial" w:hAnsi="Arial" w:cs="Arial"/>
              <w:b/>
            </w:rPr>
            <w:t>Name</w:t>
          </w:r>
        </w:p>
      </w:tc>
      <w:tc>
        <w:tcPr>
          <w:tcW w:w="7230" w:type="dxa"/>
        </w:tcPr>
        <w:p w14:paraId="185CEAFE" w14:textId="177E20DE" w:rsidR="00917C54" w:rsidRPr="00917C54" w:rsidRDefault="0041016C" w:rsidP="00917C54">
          <w:r>
            <w:t>James Noble-Rogers</w:t>
          </w:r>
        </w:p>
      </w:tc>
    </w:tr>
    <w:tr w:rsidR="00917C54" w:rsidRPr="00917C54" w14:paraId="7E6628A4" w14:textId="77777777" w:rsidTr="00917C54">
      <w:trPr>
        <w:trHeight w:val="397"/>
      </w:trPr>
      <w:tc>
        <w:tcPr>
          <w:tcW w:w="2263" w:type="dxa"/>
          <w:vAlign w:val="center"/>
        </w:tcPr>
        <w:p w14:paraId="59B47535" w14:textId="77777777" w:rsidR="00917C54" w:rsidRPr="00917C54" w:rsidRDefault="00917C54" w:rsidP="00917C54">
          <w:pPr>
            <w:rPr>
              <w:rFonts w:ascii="Arial" w:hAnsi="Arial" w:cs="Arial"/>
              <w:b/>
            </w:rPr>
          </w:pPr>
          <w:r w:rsidRPr="00917C54">
            <w:rPr>
              <w:rFonts w:ascii="Arial" w:hAnsi="Arial" w:cs="Arial"/>
              <w:b/>
            </w:rPr>
            <w:t>Position</w:t>
          </w:r>
        </w:p>
      </w:tc>
      <w:tc>
        <w:tcPr>
          <w:tcW w:w="7230" w:type="dxa"/>
        </w:tcPr>
        <w:p w14:paraId="7B015D53" w14:textId="5CBFB366" w:rsidR="00917C54" w:rsidRPr="00917C54" w:rsidRDefault="0041016C" w:rsidP="00917C54">
          <w:r>
            <w:t>Executive Director</w:t>
          </w:r>
        </w:p>
      </w:tc>
    </w:tr>
    <w:tr w:rsidR="00917C54" w:rsidRPr="00917C54" w14:paraId="55857508" w14:textId="77777777" w:rsidTr="00917C54">
      <w:trPr>
        <w:trHeight w:val="397"/>
      </w:trPr>
      <w:tc>
        <w:tcPr>
          <w:tcW w:w="2263" w:type="dxa"/>
          <w:vAlign w:val="center"/>
        </w:tcPr>
        <w:p w14:paraId="30322692" w14:textId="77777777" w:rsidR="00917C54" w:rsidRPr="00917C54" w:rsidRDefault="00917C54" w:rsidP="00917C54">
          <w:pPr>
            <w:rPr>
              <w:rFonts w:ascii="Arial" w:hAnsi="Arial" w:cs="Arial"/>
              <w:b/>
            </w:rPr>
          </w:pPr>
          <w:r w:rsidRPr="00917C54">
            <w:rPr>
              <w:rFonts w:ascii="Arial" w:hAnsi="Arial" w:cs="Arial"/>
              <w:b/>
            </w:rPr>
            <w:t>Organisation</w:t>
          </w:r>
        </w:p>
      </w:tc>
      <w:tc>
        <w:tcPr>
          <w:tcW w:w="7230" w:type="dxa"/>
        </w:tcPr>
        <w:p w14:paraId="0EFE86C9" w14:textId="41522639" w:rsidR="00917C54" w:rsidRPr="00917C54" w:rsidRDefault="0041016C" w:rsidP="00917C54">
          <w:r>
            <w:t>Universities Council for the Education of Teachers (UCET)</w:t>
          </w:r>
        </w:p>
      </w:tc>
    </w:tr>
    <w:tr w:rsidR="00917C54" w:rsidRPr="00917C54" w14:paraId="323D070F" w14:textId="77777777" w:rsidTr="00917C54">
      <w:trPr>
        <w:trHeight w:val="397"/>
      </w:trPr>
      <w:tc>
        <w:tcPr>
          <w:tcW w:w="2263" w:type="dxa"/>
          <w:vAlign w:val="center"/>
        </w:tcPr>
        <w:p w14:paraId="7BE78D98" w14:textId="77777777" w:rsidR="00917C54" w:rsidRPr="00917C54" w:rsidRDefault="00917C54" w:rsidP="00917C54">
          <w:pPr>
            <w:rPr>
              <w:rFonts w:ascii="Arial" w:hAnsi="Arial" w:cs="Arial"/>
              <w:b/>
            </w:rPr>
          </w:pPr>
          <w:r w:rsidRPr="00917C54">
            <w:rPr>
              <w:rFonts w:ascii="Arial" w:hAnsi="Arial" w:cs="Arial"/>
              <w:b/>
            </w:rPr>
            <w:t>Date</w:t>
          </w:r>
        </w:p>
      </w:tc>
      <w:tc>
        <w:tcPr>
          <w:tcW w:w="7230" w:type="dxa"/>
        </w:tcPr>
        <w:p w14:paraId="7D2FEA50" w14:textId="07912E34" w:rsidR="00917C54" w:rsidRPr="00917C54" w:rsidRDefault="0041016C" w:rsidP="00917C54">
          <w:r>
            <w:t>11 March 2021</w:t>
          </w:r>
        </w:p>
      </w:tc>
    </w:tr>
  </w:tbl>
  <w:p w14:paraId="0FA51A4E" w14:textId="020C0C68" w:rsidR="005965D8" w:rsidRDefault="005965D8">
    <w:pPr>
      <w:pStyle w:val="Header"/>
    </w:pPr>
    <w:r>
      <w:t xml:space="preserve"> </w:t>
    </w:r>
  </w:p>
  <w:p w14:paraId="234F3359" w14:textId="3D01A23E" w:rsidR="00917C54" w:rsidRPr="00917C54" w:rsidRDefault="00917C54">
    <w:pPr>
      <w:pStyle w:val="Header"/>
      <w:rPr>
        <w:i/>
      </w:rPr>
    </w:pPr>
    <w:r w:rsidRPr="00917C54">
      <w:rPr>
        <w:i/>
        <w:sz w:val="18"/>
      </w:rPr>
      <w:t>(</w:t>
    </w:r>
    <w:r w:rsidR="004E5906" w:rsidRPr="00917C54">
      <w:rPr>
        <w:i/>
        <w:sz w:val="18"/>
      </w:rPr>
      <w:t>To</w:t>
    </w:r>
    <w:r w:rsidRPr="00917C54">
      <w:rPr>
        <w:i/>
        <w:sz w:val="18"/>
      </w:rPr>
      <w:t xml:space="preserve"> enter </w:t>
    </w:r>
    <w:r>
      <w:rPr>
        <w:i/>
        <w:sz w:val="18"/>
      </w:rPr>
      <w:t>this box</w:t>
    </w:r>
    <w:r w:rsidRPr="00917C54">
      <w:rPr>
        <w:i/>
        <w:sz w:val="18"/>
      </w:rPr>
      <w:t>, please double click on the</w:t>
    </w:r>
    <w:r>
      <w:rPr>
        <w:i/>
        <w:sz w:val="18"/>
      </w:rPr>
      <w:t xml:space="preserve"> table</w:t>
    </w:r>
    <w:r w:rsidRPr="00917C54">
      <w:rPr>
        <w:i/>
        <w:sz w:val="18"/>
      </w:rPr>
      <w:t>)</w:t>
    </w:r>
  </w:p>
  <w:p w14:paraId="1D4E5E18" w14:textId="77777777" w:rsidR="005965D8" w:rsidRDefault="00596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7D3"/>
    <w:multiLevelType w:val="hybridMultilevel"/>
    <w:tmpl w:val="717072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81A65F2"/>
    <w:multiLevelType w:val="hybridMultilevel"/>
    <w:tmpl w:val="2B46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7003ED"/>
    <w:multiLevelType w:val="hybridMultilevel"/>
    <w:tmpl w:val="979A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275C9"/>
    <w:multiLevelType w:val="multilevel"/>
    <w:tmpl w:val="CA22F26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19"/>
    <w:rsid w:val="00023D50"/>
    <w:rsid w:val="000378BB"/>
    <w:rsid w:val="00042CAA"/>
    <w:rsid w:val="0006258D"/>
    <w:rsid w:val="000709FF"/>
    <w:rsid w:val="000A386B"/>
    <w:rsid w:val="000D0524"/>
    <w:rsid w:val="000D31F9"/>
    <w:rsid w:val="0015291A"/>
    <w:rsid w:val="001609AF"/>
    <w:rsid w:val="00262453"/>
    <w:rsid w:val="00282B50"/>
    <w:rsid w:val="00295452"/>
    <w:rsid w:val="00295D96"/>
    <w:rsid w:val="002A41D0"/>
    <w:rsid w:val="002C0F9B"/>
    <w:rsid w:val="002E30F0"/>
    <w:rsid w:val="002F6DFE"/>
    <w:rsid w:val="00366992"/>
    <w:rsid w:val="0039263C"/>
    <w:rsid w:val="00396989"/>
    <w:rsid w:val="003E283C"/>
    <w:rsid w:val="0041016C"/>
    <w:rsid w:val="00466FB1"/>
    <w:rsid w:val="00492E3C"/>
    <w:rsid w:val="004A57FE"/>
    <w:rsid w:val="004B4119"/>
    <w:rsid w:val="004E3438"/>
    <w:rsid w:val="004E5906"/>
    <w:rsid w:val="0050060D"/>
    <w:rsid w:val="00506024"/>
    <w:rsid w:val="0050785F"/>
    <w:rsid w:val="00530C19"/>
    <w:rsid w:val="00535BFA"/>
    <w:rsid w:val="00582AAD"/>
    <w:rsid w:val="005965D8"/>
    <w:rsid w:val="005D77EB"/>
    <w:rsid w:val="006A0A7F"/>
    <w:rsid w:val="006F16C2"/>
    <w:rsid w:val="007563C7"/>
    <w:rsid w:val="00757D55"/>
    <w:rsid w:val="00762852"/>
    <w:rsid w:val="0076424F"/>
    <w:rsid w:val="008037CF"/>
    <w:rsid w:val="0087079D"/>
    <w:rsid w:val="0088636C"/>
    <w:rsid w:val="008A19BC"/>
    <w:rsid w:val="008C1B2F"/>
    <w:rsid w:val="008D43CE"/>
    <w:rsid w:val="008E675A"/>
    <w:rsid w:val="0091276E"/>
    <w:rsid w:val="00917C54"/>
    <w:rsid w:val="00950E84"/>
    <w:rsid w:val="00956C22"/>
    <w:rsid w:val="009729C7"/>
    <w:rsid w:val="00992A83"/>
    <w:rsid w:val="009C126F"/>
    <w:rsid w:val="00A037FC"/>
    <w:rsid w:val="00A220AA"/>
    <w:rsid w:val="00A2693B"/>
    <w:rsid w:val="00AB68F4"/>
    <w:rsid w:val="00B12162"/>
    <w:rsid w:val="00B23FBE"/>
    <w:rsid w:val="00B568A3"/>
    <w:rsid w:val="00B73509"/>
    <w:rsid w:val="00BA774F"/>
    <w:rsid w:val="00BE6A62"/>
    <w:rsid w:val="00BF1365"/>
    <w:rsid w:val="00C30B47"/>
    <w:rsid w:val="00C315AA"/>
    <w:rsid w:val="00C844A5"/>
    <w:rsid w:val="00CC3F02"/>
    <w:rsid w:val="00D362F9"/>
    <w:rsid w:val="00DB4956"/>
    <w:rsid w:val="00DD7202"/>
    <w:rsid w:val="00DE7139"/>
    <w:rsid w:val="00E46575"/>
    <w:rsid w:val="00EC7F5A"/>
    <w:rsid w:val="00ED4141"/>
    <w:rsid w:val="00F17B7E"/>
    <w:rsid w:val="00F20D56"/>
    <w:rsid w:val="00F21833"/>
    <w:rsid w:val="00F71819"/>
    <w:rsid w:val="00F962D4"/>
    <w:rsid w:val="00FC5D25"/>
    <w:rsid w:val="00FE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1E03D"/>
  <w15:chartTrackingRefBased/>
  <w15:docId w15:val="{F3578C10-3610-40B5-B039-CE3C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C19"/>
    <w:pPr>
      <w:spacing w:before="100" w:beforeAutospacing="1" w:after="100" w:afterAutospacing="1"/>
      <w:ind w:left="720" w:hanging="360"/>
    </w:pPr>
    <w:rPr>
      <w:color w:val="000000"/>
      <w:lang w:eastAsia="en-GB"/>
    </w:rPr>
  </w:style>
  <w:style w:type="paragraph" w:styleId="Header">
    <w:name w:val="header"/>
    <w:basedOn w:val="Normal"/>
    <w:link w:val="HeaderChar"/>
    <w:uiPriority w:val="99"/>
    <w:unhideWhenUsed/>
    <w:rsid w:val="00282B50"/>
    <w:pPr>
      <w:tabs>
        <w:tab w:val="center" w:pos="4513"/>
        <w:tab w:val="right" w:pos="9026"/>
      </w:tabs>
    </w:pPr>
  </w:style>
  <w:style w:type="character" w:customStyle="1" w:styleId="HeaderChar">
    <w:name w:val="Header Char"/>
    <w:basedOn w:val="DefaultParagraphFont"/>
    <w:link w:val="Header"/>
    <w:uiPriority w:val="99"/>
    <w:rsid w:val="00282B50"/>
    <w:rPr>
      <w:rFonts w:ascii="Calibri" w:hAnsi="Calibri" w:cs="Calibri"/>
    </w:rPr>
  </w:style>
  <w:style w:type="paragraph" w:styleId="Footer">
    <w:name w:val="footer"/>
    <w:basedOn w:val="Normal"/>
    <w:link w:val="FooterChar"/>
    <w:uiPriority w:val="99"/>
    <w:unhideWhenUsed/>
    <w:rsid w:val="00282B50"/>
    <w:pPr>
      <w:tabs>
        <w:tab w:val="center" w:pos="4513"/>
        <w:tab w:val="right" w:pos="9026"/>
      </w:tabs>
    </w:pPr>
  </w:style>
  <w:style w:type="character" w:customStyle="1" w:styleId="FooterChar">
    <w:name w:val="Footer Char"/>
    <w:basedOn w:val="DefaultParagraphFont"/>
    <w:link w:val="Footer"/>
    <w:uiPriority w:val="99"/>
    <w:rsid w:val="00282B50"/>
    <w:rPr>
      <w:rFonts w:ascii="Calibri" w:hAnsi="Calibri" w:cs="Calibri"/>
    </w:rPr>
  </w:style>
  <w:style w:type="paragraph" w:customStyle="1" w:styleId="xxmsonormal">
    <w:name w:val="x_xmsonormal"/>
    <w:basedOn w:val="Normal"/>
    <w:rsid w:val="0050060D"/>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037CF"/>
    <w:rPr>
      <w:sz w:val="20"/>
      <w:szCs w:val="20"/>
    </w:rPr>
  </w:style>
  <w:style w:type="character" w:customStyle="1" w:styleId="FootnoteTextChar">
    <w:name w:val="Footnote Text Char"/>
    <w:basedOn w:val="DefaultParagraphFont"/>
    <w:link w:val="FootnoteText"/>
    <w:uiPriority w:val="99"/>
    <w:semiHidden/>
    <w:rsid w:val="008037CF"/>
    <w:rPr>
      <w:rFonts w:ascii="Calibri" w:hAnsi="Calibri" w:cs="Calibri"/>
      <w:sz w:val="20"/>
      <w:szCs w:val="20"/>
    </w:rPr>
  </w:style>
  <w:style w:type="character" w:styleId="FootnoteReference">
    <w:name w:val="footnote reference"/>
    <w:basedOn w:val="DefaultParagraphFont"/>
    <w:uiPriority w:val="99"/>
    <w:semiHidden/>
    <w:unhideWhenUsed/>
    <w:rsid w:val="008037CF"/>
    <w:rPr>
      <w:vertAlign w:val="superscript"/>
    </w:rPr>
  </w:style>
  <w:style w:type="paragraph" w:styleId="EndnoteText">
    <w:name w:val="endnote text"/>
    <w:basedOn w:val="Normal"/>
    <w:link w:val="EndnoteTextChar"/>
    <w:uiPriority w:val="99"/>
    <w:semiHidden/>
    <w:unhideWhenUsed/>
    <w:rsid w:val="008037CF"/>
    <w:rPr>
      <w:sz w:val="20"/>
      <w:szCs w:val="20"/>
    </w:rPr>
  </w:style>
  <w:style w:type="character" w:customStyle="1" w:styleId="EndnoteTextChar">
    <w:name w:val="Endnote Text Char"/>
    <w:basedOn w:val="DefaultParagraphFont"/>
    <w:link w:val="EndnoteText"/>
    <w:uiPriority w:val="99"/>
    <w:semiHidden/>
    <w:rsid w:val="008037CF"/>
    <w:rPr>
      <w:rFonts w:ascii="Calibri" w:hAnsi="Calibri" w:cs="Calibri"/>
      <w:sz w:val="20"/>
      <w:szCs w:val="20"/>
    </w:rPr>
  </w:style>
  <w:style w:type="character" w:styleId="EndnoteReference">
    <w:name w:val="endnote reference"/>
    <w:basedOn w:val="DefaultParagraphFont"/>
    <w:uiPriority w:val="99"/>
    <w:semiHidden/>
    <w:unhideWhenUsed/>
    <w:rsid w:val="008037CF"/>
    <w:rPr>
      <w:vertAlign w:val="superscript"/>
    </w:rPr>
  </w:style>
  <w:style w:type="paragraph" w:styleId="BalloonText">
    <w:name w:val="Balloon Text"/>
    <w:basedOn w:val="Normal"/>
    <w:link w:val="BalloonTextChar"/>
    <w:uiPriority w:val="99"/>
    <w:semiHidden/>
    <w:unhideWhenUsed/>
    <w:rsid w:val="00956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2113">
      <w:bodyDiv w:val="1"/>
      <w:marLeft w:val="0"/>
      <w:marRight w:val="0"/>
      <w:marTop w:val="0"/>
      <w:marBottom w:val="0"/>
      <w:divBdr>
        <w:top w:val="none" w:sz="0" w:space="0" w:color="auto"/>
        <w:left w:val="none" w:sz="0" w:space="0" w:color="auto"/>
        <w:bottom w:val="none" w:sz="0" w:space="0" w:color="auto"/>
        <w:right w:val="none" w:sz="0" w:space="0" w:color="auto"/>
      </w:divBdr>
    </w:div>
    <w:div w:id="643046695">
      <w:bodyDiv w:val="1"/>
      <w:marLeft w:val="0"/>
      <w:marRight w:val="0"/>
      <w:marTop w:val="0"/>
      <w:marBottom w:val="0"/>
      <w:divBdr>
        <w:top w:val="none" w:sz="0" w:space="0" w:color="auto"/>
        <w:left w:val="none" w:sz="0" w:space="0" w:color="auto"/>
        <w:bottom w:val="none" w:sz="0" w:space="0" w:color="auto"/>
        <w:right w:val="none" w:sz="0" w:space="0" w:color="auto"/>
      </w:divBdr>
    </w:div>
    <w:div w:id="17747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D286-9B2D-4072-B965-783968B1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King</dc:creator>
  <cp:keywords/>
  <dc:description/>
  <cp:lastModifiedBy>Max Fincher</cp:lastModifiedBy>
  <cp:revision>4</cp:revision>
  <cp:lastPrinted>2021-03-25T09:14:00Z</cp:lastPrinted>
  <dcterms:created xsi:type="dcterms:W3CDTF">2021-03-25T09:50:00Z</dcterms:created>
  <dcterms:modified xsi:type="dcterms:W3CDTF">2021-03-25T10:05:00Z</dcterms:modified>
</cp:coreProperties>
</file>