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B7" w:rsidRDefault="009B6EB7" w:rsidP="009B6EB7">
      <w:pPr>
        <w:jc w:val="center"/>
        <w:rPr>
          <w:rFonts w:eastAsia="Times New Roman"/>
        </w:rPr>
      </w:pPr>
    </w:p>
    <w:p w:rsidR="009B6EB7" w:rsidRDefault="009B6EB7" w:rsidP="009B6EB7">
      <w:pPr>
        <w:jc w:val="center"/>
        <w:rPr>
          <w:rFonts w:eastAsia="Times New Roman"/>
        </w:rPr>
      </w:pPr>
    </w:p>
    <w:p w:rsidR="009B6EB7" w:rsidRDefault="009B6EB7" w:rsidP="009B6EB7">
      <w:pPr>
        <w:jc w:val="center"/>
        <w:rPr>
          <w:rFonts w:eastAsia="Times New Roman"/>
        </w:rPr>
      </w:pPr>
    </w:p>
    <w:p w:rsidR="009B6EB7" w:rsidRDefault="009B6EB7" w:rsidP="009B6EB7">
      <w:pPr>
        <w:jc w:val="center"/>
        <w:rPr>
          <w:rFonts w:eastAsia="Times New Roman"/>
        </w:rPr>
      </w:pPr>
    </w:p>
    <w:p w:rsidR="009B6EB7" w:rsidRDefault="009B6EB7" w:rsidP="009B6EB7">
      <w:pPr>
        <w:jc w:val="center"/>
        <w:rPr>
          <w:rFonts w:eastAsia="Times New Roman"/>
        </w:rPr>
      </w:pPr>
    </w:p>
    <w:p w:rsidR="009B6EB7" w:rsidRDefault="009B6EB7" w:rsidP="009B6EB7">
      <w:pPr>
        <w:jc w:val="center"/>
        <w:rPr>
          <w:rFonts w:eastAsia="Times New Roman"/>
        </w:rPr>
      </w:pPr>
    </w:p>
    <w:tbl>
      <w:tblPr>
        <w:tblW w:w="9000" w:type="dxa"/>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26"/>
      </w:tblGrid>
      <w:tr w:rsidR="009B6EB7" w:rsidTr="009B6EB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B6EB7">
              <w:trPr>
                <w:tblCellSpacing w:w="0" w:type="dxa"/>
                <w:jc w:val="center"/>
              </w:trPr>
              <w:tc>
                <w:tcPr>
                  <w:tcW w:w="0" w:type="auto"/>
                  <w:shd w:val="clear" w:color="auto" w:fill="FFFFFF"/>
                  <w:vAlign w:val="center"/>
                  <w:hideMark/>
                </w:tcPr>
                <w:p w:rsidR="009B6EB7" w:rsidRDefault="009B6EB7">
                  <w:pPr>
                    <w:jc w:val="right"/>
                    <w:rPr>
                      <w:rFonts w:ascii="Arial" w:eastAsia="Times New Roman" w:hAnsi="Arial" w:cs="Arial"/>
                      <w:b/>
                      <w:bCs/>
                      <w:color w:val="202020"/>
                      <w:sz w:val="51"/>
                      <w:szCs w:val="51"/>
                      <w:lang w:eastAsia="en-US"/>
                    </w:rPr>
                  </w:pPr>
                  <w:r>
                    <w:rPr>
                      <w:rFonts w:ascii="Arial" w:eastAsia="Times New Roman" w:hAnsi="Arial" w:cs="Arial"/>
                      <w:noProof/>
                      <w:color w:val="336699"/>
                      <w:sz w:val="51"/>
                      <w:szCs w:val="51"/>
                    </w:rPr>
                    <w:drawing>
                      <wp:inline distT="0" distB="0" distL="0" distR="0">
                        <wp:extent cx="1231900" cy="628650"/>
                        <wp:effectExtent l="0" t="0" r="6350" b="0"/>
                        <wp:docPr id="2" name="Picture 2" descr="Ofsted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Ofste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628650"/>
                                </a:xfrm>
                                <a:prstGeom prst="rect">
                                  <a:avLst/>
                                </a:prstGeom>
                                <a:noFill/>
                                <a:ln>
                                  <a:noFill/>
                                </a:ln>
                              </pic:spPr>
                            </pic:pic>
                          </a:graphicData>
                        </a:graphic>
                      </wp:inline>
                    </w:drawing>
                  </w:r>
                </w:p>
              </w:tc>
            </w:tr>
          </w:tbl>
          <w:p w:rsidR="009B6EB7" w:rsidRDefault="009B6EB7">
            <w:pPr>
              <w:jc w:val="center"/>
              <w:rPr>
                <w:rFonts w:asciiTheme="minorHAnsi" w:hAnsiTheme="minorHAnsi"/>
                <w:sz w:val="22"/>
                <w:szCs w:val="22"/>
                <w:lang w:eastAsia="en-US"/>
              </w:rPr>
            </w:pPr>
          </w:p>
        </w:tc>
      </w:tr>
      <w:tr w:rsidR="009B6EB7" w:rsidTr="009B6EB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11"/>
            </w:tblGrid>
            <w:tr w:rsidR="009B6EB7">
              <w:trPr>
                <w:tblCellSpacing w:w="0" w:type="dxa"/>
                <w:jc w:val="center"/>
              </w:trPr>
              <w:tc>
                <w:tcPr>
                  <w:tcW w:w="0" w:type="auto"/>
                  <w:shd w:val="clear" w:color="auto" w:fill="FFFFFF"/>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9011"/>
                  </w:tblGrid>
                  <w:tr w:rsidR="009B6EB7">
                    <w:trPr>
                      <w:tblCellSpacing w:w="0" w:type="dxa"/>
                    </w:trPr>
                    <w:tc>
                      <w:tcPr>
                        <w:tcW w:w="0" w:type="auto"/>
                        <w:hideMark/>
                      </w:tcPr>
                      <w:p w:rsidR="009B6EB7" w:rsidRDefault="009B6EB7">
                        <w:pPr>
                          <w:spacing w:line="360" w:lineRule="auto"/>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br/>
                        </w:r>
                        <w:r>
                          <w:rPr>
                            <w:rFonts w:ascii="Tahoma" w:eastAsia="Times New Roman" w:hAnsi="Tahoma" w:cs="Tahoma"/>
                            <w:color w:val="200C59"/>
                            <w:sz w:val="47"/>
                            <w:szCs w:val="47"/>
                            <w:lang w:eastAsia="en-US"/>
                          </w:rPr>
                          <w:t>Initial Teacher Education</w:t>
                        </w:r>
                        <w:r>
                          <w:rPr>
                            <w:rFonts w:ascii="Tahoma" w:eastAsia="Times New Roman" w:hAnsi="Tahoma" w:cs="Tahoma"/>
                            <w:color w:val="505050"/>
                            <w:sz w:val="47"/>
                            <w:szCs w:val="47"/>
                            <w:lang w:eastAsia="en-US"/>
                          </w:rPr>
                          <w:t> </w:t>
                        </w:r>
                        <w:r>
                          <w:rPr>
                            <w:rStyle w:val="Emphasis"/>
                            <w:rFonts w:ascii="Tahoma" w:eastAsia="Times New Roman" w:hAnsi="Tahoma" w:cs="Tahoma"/>
                            <w:color w:val="8AB23E"/>
                            <w:sz w:val="47"/>
                            <w:szCs w:val="47"/>
                            <w:lang w:eastAsia="en-US"/>
                          </w:rPr>
                          <w:t>Update</w:t>
                        </w:r>
                        <w:r>
                          <w:rPr>
                            <w:rFonts w:ascii="Tahoma" w:eastAsia="Times New Roman" w:hAnsi="Tahoma" w:cs="Tahoma"/>
                            <w:color w:val="505050"/>
                            <w:sz w:val="18"/>
                            <w:szCs w:val="18"/>
                            <w:lang w:eastAsia="en-US"/>
                          </w:rPr>
                          <w:br/>
                          <w:t> </w:t>
                        </w:r>
                        <w:r>
                          <w:rPr>
                            <w:rFonts w:ascii="Tahoma" w:eastAsia="Times New Roman" w:hAnsi="Tahoma" w:cs="Tahoma"/>
                            <w:color w:val="505050"/>
                            <w:sz w:val="18"/>
                            <w:szCs w:val="18"/>
                            <w:lang w:eastAsia="en-US"/>
                          </w:rPr>
                          <w:br/>
                          <w:t>January 2021</w:t>
                        </w:r>
                        <w:r>
                          <w:rPr>
                            <w:rFonts w:ascii="Tahoma" w:eastAsia="Times New Roman" w:hAnsi="Tahoma" w:cs="Tahoma"/>
                            <w:color w:val="505050"/>
                            <w:sz w:val="18"/>
                            <w:szCs w:val="18"/>
                            <w:lang w:eastAsia="en-US"/>
                          </w:rPr>
                          <w:br/>
                          <w:t> </w:t>
                        </w:r>
                        <w:r>
                          <w:rPr>
                            <w:rFonts w:ascii="Tahoma" w:eastAsia="Times New Roman" w:hAnsi="Tahoma" w:cs="Tahoma"/>
                            <w:color w:val="505050"/>
                            <w:sz w:val="18"/>
                            <w:szCs w:val="18"/>
                            <w:lang w:eastAsia="en-US"/>
                          </w:rPr>
                          <w:br/>
                        </w:r>
                        <w:r>
                          <w:rPr>
                            <w:rFonts w:ascii="Tahoma" w:eastAsia="Times New Roman" w:hAnsi="Tahoma" w:cs="Tahoma"/>
                            <w:noProof/>
                            <w:color w:val="505050"/>
                            <w:sz w:val="18"/>
                            <w:szCs w:val="18"/>
                          </w:rPr>
                          <w:drawing>
                            <wp:inline distT="0" distB="0" distL="0" distR="0">
                              <wp:extent cx="5715000" cy="3549650"/>
                              <wp:effectExtent l="0" t="0" r="0" b="0"/>
                              <wp:docPr id="1" name="Picture 1" descr="https://mcusercontent.com/46387df40cbf78623e0679b2f/images/df589286-3299-454c-bbd8-a7876de4d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46387df40cbf78623e0679b2f/images/df589286-3299-454c-bbd8-a7876de4df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49650"/>
                                      </a:xfrm>
                                      <a:prstGeom prst="rect">
                                        <a:avLst/>
                                      </a:prstGeom>
                                      <a:noFill/>
                                      <a:ln>
                                        <a:noFill/>
                                      </a:ln>
                                    </pic:spPr>
                                  </pic:pic>
                                </a:graphicData>
                              </a:graphic>
                            </wp:inline>
                          </w:drawing>
                        </w:r>
                        <w:r>
                          <w:rPr>
                            <w:rFonts w:ascii="Tahoma" w:eastAsia="Times New Roman" w:hAnsi="Tahoma" w:cs="Tahoma"/>
                            <w:color w:val="505050"/>
                            <w:sz w:val="18"/>
                            <w:szCs w:val="18"/>
                            <w:lang w:eastAsia="en-US"/>
                          </w:rPr>
                          <w:br/>
                        </w:r>
                        <w:r>
                          <w:rPr>
                            <w:rFonts w:ascii="Tahoma" w:eastAsia="Times New Roman" w:hAnsi="Tahoma" w:cs="Tahoma"/>
                            <w:color w:val="505050"/>
                            <w:sz w:val="18"/>
                            <w:szCs w:val="18"/>
                            <w:lang w:eastAsia="en-US"/>
                          </w:rPr>
                          <w:br/>
                          <w:t>Happy New Year to you all. While COVID-19 continues to challenge, let’s hope that 2021 brings some resolution and relief.  </w:t>
                        </w:r>
                        <w:r>
                          <w:rPr>
                            <w:rFonts w:ascii="Tahoma" w:eastAsia="Times New Roman" w:hAnsi="Tahoma" w:cs="Tahoma"/>
                            <w:color w:val="505050"/>
                            <w:sz w:val="18"/>
                            <w:szCs w:val="18"/>
                            <w:lang w:eastAsia="en-US"/>
                          </w:rPr>
                          <w:br/>
                          <w:t xml:space="preserve">  </w:t>
                        </w:r>
                      </w:p>
                      <w:p w:rsidR="009B6EB7" w:rsidRDefault="009B6EB7">
                        <w:pPr>
                          <w:spacing w:line="360" w:lineRule="auto"/>
                          <w:jc w:val="center"/>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pict>
                            <v:rect id="_x0000_i1027" style="width:451.3pt;height:1.5pt" o:hralign="center" o:hrstd="t" o:hr="t" fillcolor="#a0a0a0" stroked="f"/>
                          </w:pict>
                        </w:r>
                      </w:p>
                      <w:p w:rsidR="009B6EB7" w:rsidRDefault="009B6EB7">
                        <w:pPr>
                          <w:spacing w:line="360" w:lineRule="auto"/>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br/>
                        </w:r>
                        <w:r>
                          <w:rPr>
                            <w:rStyle w:val="Strong"/>
                            <w:rFonts w:ascii="Tahoma" w:eastAsia="Times New Roman" w:hAnsi="Tahoma" w:cs="Tahoma"/>
                            <w:color w:val="8AB23E"/>
                            <w:sz w:val="27"/>
                            <w:szCs w:val="27"/>
                            <w:lang w:eastAsia="en-US"/>
                          </w:rPr>
                          <w:t>ITE inspection update </w:t>
                        </w:r>
                        <w:r>
                          <w:rPr>
                            <w:rFonts w:ascii="Tahoma" w:eastAsia="Times New Roman" w:hAnsi="Tahoma" w:cs="Tahoma"/>
                            <w:color w:val="505050"/>
                            <w:sz w:val="18"/>
                            <w:szCs w:val="18"/>
                            <w:lang w:eastAsia="en-US"/>
                          </w:rPr>
                          <w:t xml:space="preserve">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lastRenderedPageBreak/>
                          <w:t>As you will have read in the </w:t>
                        </w:r>
                        <w:hyperlink r:id="rId8" w:tgtFrame="_blank" w:history="1">
                          <w:r>
                            <w:rPr>
                              <w:rStyle w:val="Hyperlink"/>
                              <w:rFonts w:ascii="Tahoma" w:hAnsi="Tahoma" w:cs="Tahoma"/>
                              <w:color w:val="2092B6"/>
                              <w:sz w:val="18"/>
                              <w:szCs w:val="18"/>
                              <w:u w:val="none"/>
                              <w:lang w:eastAsia="en-US"/>
                            </w:rPr>
                            <w:t>Ofsted: coronavirus (COVID-19) rolling update</w:t>
                          </w:r>
                        </w:hyperlink>
                        <w:r>
                          <w:rPr>
                            <w:rFonts w:ascii="Tahoma" w:hAnsi="Tahoma" w:cs="Tahoma"/>
                            <w:color w:val="505050"/>
                            <w:sz w:val="18"/>
                            <w:szCs w:val="18"/>
                            <w:lang w:eastAsia="en-US"/>
                          </w:rPr>
                          <w:t> Ofsted will introduce full graded inspections under the new ITE inspection framework from April 2021.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From January 2021, we will carry out research into how COVID-19 has affected the provision of ITE. This will result in a single published report before the start of full inspections from April 2021.  </w:t>
                        </w:r>
                      </w:p>
                      <w:p w:rsidR="009B6EB7" w:rsidRDefault="009B6EB7">
                        <w:pPr>
                          <w:spacing w:line="360" w:lineRule="auto"/>
                          <w:jc w:val="center"/>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pict>
                            <v:rect id="_x0000_i1028" style="width:451.3pt;height:1.5pt" o:hralign="center" o:hrstd="t" o:hr="t" fillcolor="#a0a0a0" stroked="f"/>
                          </w:pict>
                        </w:r>
                      </w:p>
                      <w:p w:rsidR="009B6EB7" w:rsidRDefault="009B6EB7">
                        <w:pPr>
                          <w:spacing w:line="360" w:lineRule="auto"/>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br/>
                        </w:r>
                        <w:r>
                          <w:rPr>
                            <w:rStyle w:val="Strong"/>
                            <w:rFonts w:ascii="Tahoma" w:eastAsia="Times New Roman" w:hAnsi="Tahoma" w:cs="Tahoma"/>
                            <w:color w:val="8AB23E"/>
                            <w:sz w:val="27"/>
                            <w:szCs w:val="27"/>
                            <w:lang w:eastAsia="en-US"/>
                          </w:rPr>
                          <w:t>Ofsted's ITE Research</w:t>
                        </w:r>
                        <w:r>
                          <w:rPr>
                            <w:rFonts w:ascii="Tahoma" w:eastAsia="Times New Roman" w:hAnsi="Tahoma" w:cs="Tahoma"/>
                            <w:color w:val="505050"/>
                            <w:sz w:val="18"/>
                            <w:szCs w:val="18"/>
                            <w:lang w:eastAsia="en-US"/>
                          </w:rPr>
                          <w:t xml:space="preserve">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The ITE research will be undertaken from January to March 2021. The intention is to gather information from a range of partnership phases, sizes and types, in order to publish a national ITE research report in the summer term. Partnerships will be selected by Ofsted and notified a week in advance so that they have time to organise relevant meetings with appropriate stakeholders. The research will be fully remote using an appropriate platform, such as Microsoft Teams and participation is voluntary. The research will be conducted over a two-day period with one inspector, to give the greatest flexibility, so that meetings can be arranged to suit partnership personnel.  </w:t>
                        </w:r>
                        <w:r>
                          <w:rPr>
                            <w:rFonts w:ascii="Tahoma" w:hAnsi="Tahoma" w:cs="Tahoma"/>
                            <w:color w:val="505050"/>
                            <w:sz w:val="18"/>
                            <w:szCs w:val="18"/>
                            <w:lang w:eastAsia="en-US"/>
                          </w:rPr>
                          <w:br/>
                          <w:t>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The focus of the research will be two-fold: </w:t>
                        </w:r>
                      </w:p>
                      <w:p w:rsidR="009B6EB7" w:rsidRDefault="009B6EB7" w:rsidP="00F309F8">
                        <w:pPr>
                          <w:pStyle w:val="NormalWeb"/>
                          <w:numPr>
                            <w:ilvl w:val="0"/>
                            <w:numId w:val="1"/>
                          </w:numPr>
                          <w:spacing w:line="360" w:lineRule="auto"/>
                          <w:rPr>
                            <w:rFonts w:ascii="Tahoma" w:hAnsi="Tahoma" w:cs="Tahoma"/>
                            <w:color w:val="505050"/>
                            <w:sz w:val="18"/>
                            <w:szCs w:val="18"/>
                            <w:lang w:eastAsia="en-US"/>
                          </w:rPr>
                        </w:pPr>
                        <w:r>
                          <w:rPr>
                            <w:rFonts w:ascii="Tahoma" w:hAnsi="Tahoma" w:cs="Tahoma"/>
                            <w:color w:val="505050"/>
                            <w:sz w:val="18"/>
                            <w:szCs w:val="18"/>
                            <w:lang w:eastAsia="en-US"/>
                          </w:rPr>
                          <w:t>To build a national picture of how the ITE sector has responded to COVID-19. </w:t>
                        </w:r>
                      </w:p>
                      <w:p w:rsidR="009B6EB7" w:rsidRDefault="009B6EB7" w:rsidP="00F309F8">
                        <w:pPr>
                          <w:pStyle w:val="NormalWeb"/>
                          <w:numPr>
                            <w:ilvl w:val="0"/>
                            <w:numId w:val="1"/>
                          </w:numPr>
                          <w:spacing w:line="360" w:lineRule="auto"/>
                          <w:rPr>
                            <w:rFonts w:ascii="Tahoma" w:hAnsi="Tahoma" w:cs="Tahoma"/>
                            <w:color w:val="505050"/>
                            <w:sz w:val="18"/>
                            <w:szCs w:val="18"/>
                            <w:lang w:eastAsia="en-US"/>
                          </w:rPr>
                        </w:pPr>
                        <w:r>
                          <w:rPr>
                            <w:rFonts w:ascii="Tahoma" w:hAnsi="Tahoma" w:cs="Tahoma"/>
                            <w:color w:val="505050"/>
                            <w:sz w:val="18"/>
                            <w:szCs w:val="18"/>
                            <w:lang w:eastAsia="en-US"/>
                          </w:rPr>
                          <w:t>To look at how partnership leaders have ensured and assured the quality of the ITE curriculum. On primary and secondary programmes, this will include the implementation of the Core Content Framework. </w:t>
                        </w:r>
                      </w:p>
                      <w:p w:rsidR="009B6EB7" w:rsidRDefault="009B6EB7">
                        <w:pPr>
                          <w:spacing w:line="360" w:lineRule="auto"/>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t>The research is not an inspection. No grades will be given, or reports written on individual partnership phases. The research should be viewed as an opportunity for the sector to share their views on the impact of COVID-19 and the actions they have taken to maintain high quality ITE courses. A national report will be published in the summer term. </w:t>
                        </w:r>
                        <w:r>
                          <w:rPr>
                            <w:rFonts w:ascii="Tahoma" w:eastAsia="Times New Roman" w:hAnsi="Tahoma" w:cs="Tahoma"/>
                            <w:color w:val="505050"/>
                            <w:sz w:val="18"/>
                            <w:szCs w:val="18"/>
                            <w:lang w:eastAsia="en-US"/>
                          </w:rPr>
                          <w:br/>
                          <w:t xml:space="preserve">  </w:t>
                        </w:r>
                      </w:p>
                      <w:p w:rsidR="009B6EB7" w:rsidRDefault="009B6EB7">
                        <w:pPr>
                          <w:spacing w:line="360" w:lineRule="auto"/>
                          <w:jc w:val="center"/>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pict>
                            <v:rect id="_x0000_i1029" style="width:451.3pt;height:1.5pt" o:hralign="center" o:hrstd="t" o:hr="t" fillcolor="#a0a0a0" stroked="f"/>
                          </w:pict>
                        </w:r>
                      </w:p>
                      <w:p w:rsidR="009B6EB7" w:rsidRDefault="009B6EB7">
                        <w:pPr>
                          <w:spacing w:line="360" w:lineRule="auto"/>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br/>
                        </w:r>
                        <w:r>
                          <w:rPr>
                            <w:rStyle w:val="Strong"/>
                            <w:rFonts w:ascii="Tahoma" w:eastAsia="Times New Roman" w:hAnsi="Tahoma" w:cs="Tahoma"/>
                            <w:color w:val="8AB23E"/>
                            <w:sz w:val="27"/>
                            <w:szCs w:val="27"/>
                            <w:lang w:eastAsia="en-US"/>
                          </w:rPr>
                          <w:t>DfE update on placements</w:t>
                        </w:r>
                        <w:r>
                          <w:rPr>
                            <w:rFonts w:ascii="Tahoma" w:eastAsia="Times New Roman" w:hAnsi="Tahoma" w:cs="Tahoma"/>
                            <w:color w:val="505050"/>
                            <w:sz w:val="18"/>
                            <w:szCs w:val="18"/>
                            <w:lang w:eastAsia="en-US"/>
                          </w:rPr>
                          <w:t xml:space="preserve">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Please note the following statement from the DfE (full document in the link): </w:t>
                        </w:r>
                        <w:hyperlink r:id="rId9" w:tgtFrame="_blank" w:history="1">
                          <w:r>
                            <w:rPr>
                              <w:rStyle w:val="Hyperlink"/>
                              <w:rFonts w:ascii="Tahoma" w:hAnsi="Tahoma" w:cs="Tahoma"/>
                              <w:color w:val="2092B6"/>
                              <w:sz w:val="18"/>
                              <w:szCs w:val="18"/>
                              <w:u w:val="none"/>
                              <w:lang w:eastAsia="en-US"/>
                            </w:rPr>
                            <w:t>https://www.gov.uk/government/publications/coronavirus-covid-19-initial-teacher-training-itt/coronavirus-covid-19-initial-teacher-training-itt#changes-to-the-itt-criteria-for-2020-to-2021</w:t>
                          </w:r>
                        </w:hyperlink>
                      </w:p>
                      <w:p w:rsidR="009B6EB7" w:rsidRDefault="009B6EB7">
                        <w:pPr>
                          <w:pStyle w:val="NormalWeb"/>
                          <w:spacing w:line="360" w:lineRule="auto"/>
                          <w:rPr>
                            <w:rFonts w:ascii="Tahoma" w:hAnsi="Tahoma" w:cs="Tahoma"/>
                            <w:color w:val="505050"/>
                            <w:sz w:val="18"/>
                            <w:szCs w:val="18"/>
                            <w:lang w:eastAsia="en-US"/>
                          </w:rPr>
                        </w:pPr>
                        <w:r>
                          <w:rPr>
                            <w:rStyle w:val="Emphasis"/>
                            <w:rFonts w:ascii="Tahoma" w:hAnsi="Tahoma" w:cs="Tahoma"/>
                            <w:color w:val="505050"/>
                            <w:sz w:val="18"/>
                            <w:szCs w:val="18"/>
                            <w:lang w:eastAsia="en-US"/>
                          </w:rPr>
                          <w:lastRenderedPageBreak/>
                          <w:t>We recognise that disruption due to coronavirus (COVID-19) may lead to discrepancies in the length and consistency of trainees’ school placement experience this year. We have published </w:t>
                        </w:r>
                        <w:hyperlink r:id="rId10" w:tgtFrame="_blank" w:history="1">
                          <w:r>
                            <w:rPr>
                              <w:rStyle w:val="Hyperlink"/>
                              <w:rFonts w:ascii="Tahoma" w:hAnsi="Tahoma" w:cs="Tahoma"/>
                              <w:i/>
                              <w:iCs/>
                              <w:color w:val="2092B6"/>
                              <w:sz w:val="18"/>
                              <w:szCs w:val="18"/>
                              <w:u w:val="none"/>
                              <w:lang w:eastAsia="en-US"/>
                            </w:rPr>
                            <w:t>guidance</w:t>
                          </w:r>
                        </w:hyperlink>
                        <w:r>
                          <w:rPr>
                            <w:rStyle w:val="Emphasis"/>
                            <w:rFonts w:ascii="Tahoma" w:hAnsi="Tahoma" w:cs="Tahoma"/>
                            <w:color w:val="505050"/>
                            <w:sz w:val="18"/>
                            <w:szCs w:val="18"/>
                            <w:lang w:eastAsia="en-US"/>
                          </w:rPr>
                          <w:t> to highlight this and we expect providers to use their professional judgment and discretion to determine the extent to which individual trainees have, through their school-based training, been able to evidence the Teachers’ Standards. Ofsted will take this into account when inspections resume in April 2021. </w:t>
                        </w:r>
                        <w:r>
                          <w:rPr>
                            <w:rFonts w:ascii="Tahoma" w:hAnsi="Tahoma" w:cs="Tahoma"/>
                            <w:color w:val="505050"/>
                            <w:sz w:val="18"/>
                            <w:szCs w:val="18"/>
                            <w:lang w:eastAsia="en-US"/>
                          </w:rPr>
                          <w:br/>
                          <w:t> </w:t>
                        </w:r>
                      </w:p>
                      <w:p w:rsidR="009B6EB7" w:rsidRDefault="009B6EB7">
                        <w:pPr>
                          <w:spacing w:line="360" w:lineRule="auto"/>
                          <w:jc w:val="center"/>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pict>
                            <v:rect id="_x0000_i1030" style="width:451.3pt;height:1.5pt" o:hralign="center" o:hrstd="t" o:hr="t" fillcolor="#a0a0a0" stroked="f"/>
                          </w:pict>
                        </w:r>
                      </w:p>
                      <w:p w:rsidR="009B6EB7" w:rsidRDefault="009B6EB7">
                        <w:pPr>
                          <w:spacing w:line="360" w:lineRule="auto"/>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br/>
                        </w:r>
                        <w:r>
                          <w:rPr>
                            <w:rStyle w:val="Strong"/>
                            <w:rFonts w:ascii="Tahoma" w:eastAsia="Times New Roman" w:hAnsi="Tahoma" w:cs="Tahoma"/>
                            <w:color w:val="8AB23E"/>
                            <w:sz w:val="27"/>
                            <w:szCs w:val="27"/>
                            <w:lang w:eastAsia="en-US"/>
                          </w:rPr>
                          <w:t>Other useful links and updates </w:t>
                        </w:r>
                        <w:r>
                          <w:rPr>
                            <w:rFonts w:ascii="Tahoma" w:eastAsia="Times New Roman" w:hAnsi="Tahoma" w:cs="Tahoma"/>
                            <w:color w:val="505050"/>
                            <w:sz w:val="18"/>
                            <w:szCs w:val="18"/>
                            <w:lang w:eastAsia="en-US"/>
                          </w:rPr>
                          <w:br/>
                          <w:t xml:space="preserve">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Higher education providers: coronavirus (COVID-19) – updated 7 January 2021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This new higher education guidance specifies ITT as a prioritised subject for face-to-face teaching/return on p.4 of ‘Students returning to and starting higher education in the Spring term’: </w:t>
                        </w:r>
                      </w:p>
                      <w:p w:rsidR="009B6EB7" w:rsidRDefault="009B6EB7">
                        <w:pPr>
                          <w:pStyle w:val="NormalWeb"/>
                          <w:spacing w:line="360" w:lineRule="auto"/>
                          <w:rPr>
                            <w:rFonts w:ascii="Tahoma" w:hAnsi="Tahoma" w:cs="Tahoma"/>
                            <w:color w:val="505050"/>
                            <w:sz w:val="18"/>
                            <w:szCs w:val="18"/>
                            <w:lang w:eastAsia="en-US"/>
                          </w:rPr>
                        </w:pPr>
                        <w:hyperlink r:id="rId11" w:tgtFrame="_blank" w:history="1">
                          <w:r>
                            <w:rPr>
                              <w:rStyle w:val="Hyperlink"/>
                              <w:rFonts w:ascii="Tahoma" w:hAnsi="Tahoma" w:cs="Tahoma"/>
                              <w:color w:val="2092B6"/>
                              <w:sz w:val="18"/>
                              <w:szCs w:val="18"/>
                              <w:u w:val="none"/>
                              <w:lang w:eastAsia="en-US"/>
                            </w:rPr>
                            <w:t>https://www.gov.uk/government/publications/higher-education-reopening-buildings-and-campuses</w:t>
                          </w:r>
                        </w:hyperlink>
                        <w:r>
                          <w:rPr>
                            <w:rFonts w:ascii="Tahoma" w:hAnsi="Tahoma" w:cs="Tahoma"/>
                            <w:color w:val="505050"/>
                            <w:sz w:val="18"/>
                            <w:szCs w:val="18"/>
                            <w:lang w:eastAsia="en-US"/>
                          </w:rPr>
                          <w:t>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Updated guidance for schools including the deployment of ITT trainees.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Restricting attendance during the national lockdown: schools’ document – see pages 36-37 – updated 7 January 2021 </w:t>
                        </w:r>
                      </w:p>
                      <w:p w:rsidR="009B6EB7" w:rsidRDefault="009B6EB7">
                        <w:pPr>
                          <w:pStyle w:val="NormalWeb"/>
                          <w:spacing w:line="360" w:lineRule="auto"/>
                          <w:rPr>
                            <w:rFonts w:ascii="Tahoma" w:hAnsi="Tahoma" w:cs="Tahoma"/>
                            <w:color w:val="505050"/>
                            <w:sz w:val="18"/>
                            <w:szCs w:val="18"/>
                            <w:lang w:eastAsia="en-US"/>
                          </w:rPr>
                        </w:pPr>
                        <w:hyperlink r:id="rId12" w:tgtFrame="_blank" w:history="1">
                          <w:r>
                            <w:rPr>
                              <w:rStyle w:val="Hyperlink"/>
                              <w:rFonts w:ascii="Tahoma" w:hAnsi="Tahoma" w:cs="Tahoma"/>
                              <w:color w:val="2092B6"/>
                              <w:sz w:val="18"/>
                              <w:szCs w:val="18"/>
                              <w:u w:val="none"/>
                              <w:lang w:eastAsia="en-US"/>
                            </w:rPr>
                            <w:t>https://www.gov.uk/government/publications/actions-for-schools-during-the-coronavirus-outbreak#school-workforce</w:t>
                          </w:r>
                        </w:hyperlink>
                        <w:r>
                          <w:rPr>
                            <w:rFonts w:ascii="Tahoma" w:hAnsi="Tahoma" w:cs="Tahoma"/>
                            <w:color w:val="505050"/>
                            <w:sz w:val="18"/>
                            <w:szCs w:val="18"/>
                            <w:lang w:eastAsia="en-US"/>
                          </w:rPr>
                          <w:t>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Coronavirus (COVID-19): initial teacher training (ITT) - </w:t>
                        </w:r>
                        <w:hyperlink r:id="rId13" w:tgtFrame="_blank" w:history="1">
                          <w:r>
                            <w:rPr>
                              <w:rStyle w:val="Hyperlink"/>
                              <w:rFonts w:ascii="Tahoma" w:hAnsi="Tahoma" w:cs="Tahoma"/>
                              <w:color w:val="2092B6"/>
                              <w:sz w:val="18"/>
                              <w:szCs w:val="18"/>
                              <w:u w:val="none"/>
                              <w:lang w:eastAsia="en-US"/>
                            </w:rPr>
                            <w:t>https://www.gov.uk/government/publications/coronavirus-covid-19-initial-teacher-training-itt</w:t>
                          </w:r>
                        </w:hyperlink>
                        <w:r>
                          <w:rPr>
                            <w:rFonts w:ascii="Tahoma" w:hAnsi="Tahoma" w:cs="Tahoma"/>
                            <w:color w:val="505050"/>
                            <w:sz w:val="18"/>
                            <w:szCs w:val="18"/>
                            <w:lang w:eastAsia="en-US"/>
                          </w:rPr>
                          <w:t>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Teacher Recruitment Bulletin - </w:t>
                        </w:r>
                        <w:hyperlink r:id="rId14" w:tgtFrame="_blank" w:history="1">
                          <w:r>
                            <w:rPr>
                              <w:rStyle w:val="Hyperlink"/>
                              <w:rFonts w:ascii="Tahoma" w:hAnsi="Tahoma" w:cs="Tahoma"/>
                              <w:color w:val="2092B6"/>
                              <w:sz w:val="18"/>
                              <w:szCs w:val="18"/>
                              <w:u w:val="none"/>
                              <w:lang w:eastAsia="en-US"/>
                            </w:rPr>
                            <w:t>https://www.gov.uk/government/publications/teacher-recruitment-bulletin</w:t>
                          </w:r>
                        </w:hyperlink>
                        <w:r>
                          <w:rPr>
                            <w:rFonts w:ascii="Tahoma" w:hAnsi="Tahoma" w:cs="Tahoma"/>
                            <w:color w:val="505050"/>
                            <w:sz w:val="18"/>
                            <w:szCs w:val="18"/>
                            <w:lang w:eastAsia="en-US"/>
                          </w:rPr>
                          <w:t>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The aim of Ofsted’s Initial Teacher Education (ITE) </w:t>
                        </w:r>
                        <w:r>
                          <w:rPr>
                            <w:rStyle w:val="Emphasis"/>
                            <w:rFonts w:ascii="Tahoma" w:hAnsi="Tahoma" w:cs="Tahoma"/>
                            <w:color w:val="505050"/>
                            <w:sz w:val="18"/>
                            <w:szCs w:val="18"/>
                            <w:lang w:eastAsia="en-US"/>
                          </w:rPr>
                          <w:t>Update</w:t>
                        </w:r>
                        <w:r>
                          <w:rPr>
                            <w:rFonts w:ascii="Tahoma" w:hAnsi="Tahoma" w:cs="Tahoma"/>
                            <w:color w:val="505050"/>
                            <w:sz w:val="18"/>
                            <w:szCs w:val="18"/>
                            <w:lang w:eastAsia="en-US"/>
                          </w:rPr>
                          <w:t> is to provide ITE partnerships with the latest Ofsted information, guidance and relevant links. If you are no longer the identified provider’s representative for your ITE partnership, please pass on to the relevant colleague and contact us with their details via the </w:t>
                        </w:r>
                        <w:hyperlink r:id="rId15" w:tgtFrame="_blank" w:history="1">
                          <w:r>
                            <w:rPr>
                              <w:rStyle w:val="Hyperlink"/>
                              <w:rFonts w:ascii="Tahoma" w:hAnsi="Tahoma" w:cs="Tahoma"/>
                              <w:color w:val="2092B6"/>
                              <w:sz w:val="18"/>
                              <w:szCs w:val="18"/>
                              <w:u w:val="none"/>
                              <w:lang w:eastAsia="en-US"/>
                            </w:rPr>
                            <w:t>ITE@ofsted.gov.uk</w:t>
                          </w:r>
                        </w:hyperlink>
                        <w:r>
                          <w:rPr>
                            <w:rFonts w:ascii="Tahoma" w:hAnsi="Tahoma" w:cs="Tahoma"/>
                            <w:color w:val="505050"/>
                            <w:sz w:val="18"/>
                            <w:szCs w:val="18"/>
                            <w:lang w:eastAsia="en-US"/>
                          </w:rPr>
                          <w:t> mailbox. </w:t>
                        </w:r>
                      </w:p>
                      <w:p w:rsidR="009B6EB7" w:rsidRDefault="009B6EB7">
                        <w:pPr>
                          <w:pStyle w:val="NormalWeb"/>
                          <w:spacing w:line="360" w:lineRule="auto"/>
                          <w:rPr>
                            <w:rFonts w:ascii="Tahoma" w:hAnsi="Tahoma" w:cs="Tahoma"/>
                            <w:color w:val="505050"/>
                            <w:sz w:val="18"/>
                            <w:szCs w:val="18"/>
                            <w:lang w:eastAsia="en-US"/>
                          </w:rPr>
                        </w:pPr>
                        <w:r>
                          <w:rPr>
                            <w:rFonts w:ascii="Tahoma" w:hAnsi="Tahoma" w:cs="Tahoma"/>
                            <w:color w:val="505050"/>
                            <w:sz w:val="18"/>
                            <w:szCs w:val="18"/>
                            <w:lang w:eastAsia="en-US"/>
                          </w:rPr>
                          <w:t>Please let us know if there are any particular topics you would like to read about in the next ITE Ofsted update, by writing to </w:t>
                        </w:r>
                        <w:hyperlink r:id="rId16" w:tgtFrame="_blank" w:history="1">
                          <w:r>
                            <w:rPr>
                              <w:rStyle w:val="Hyperlink"/>
                              <w:rFonts w:ascii="Tahoma" w:hAnsi="Tahoma" w:cs="Tahoma"/>
                              <w:color w:val="2092B6"/>
                              <w:sz w:val="18"/>
                              <w:szCs w:val="18"/>
                              <w:u w:val="none"/>
                              <w:lang w:eastAsia="en-US"/>
                            </w:rPr>
                            <w:t>ITE@ofsted.gov.uk</w:t>
                          </w:r>
                        </w:hyperlink>
                        <w:r>
                          <w:rPr>
                            <w:rFonts w:ascii="Tahoma" w:hAnsi="Tahoma" w:cs="Tahoma"/>
                            <w:color w:val="505050"/>
                            <w:sz w:val="18"/>
                            <w:szCs w:val="18"/>
                            <w:lang w:eastAsia="en-US"/>
                          </w:rPr>
                          <w:t>  </w:t>
                        </w:r>
                        <w:r>
                          <w:rPr>
                            <w:rFonts w:ascii="Tahoma" w:hAnsi="Tahoma" w:cs="Tahoma"/>
                            <w:color w:val="505050"/>
                            <w:sz w:val="18"/>
                            <w:szCs w:val="18"/>
                            <w:lang w:eastAsia="en-US"/>
                          </w:rPr>
                          <w:br/>
                          <w:t> </w:t>
                        </w:r>
                      </w:p>
                      <w:p w:rsidR="009B6EB7" w:rsidRDefault="009B6EB7">
                        <w:pPr>
                          <w:spacing w:line="360" w:lineRule="auto"/>
                          <w:jc w:val="center"/>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pict>
                            <v:rect id="_x0000_i1031" style="width:451.3pt;height:1.5pt" o:hralign="center" o:hrstd="t" o:hr="t" fillcolor="#a0a0a0" stroked="f"/>
                          </w:pict>
                        </w:r>
                      </w:p>
                      <w:p w:rsidR="009B6EB7" w:rsidRDefault="009B6EB7">
                        <w:pPr>
                          <w:spacing w:line="360" w:lineRule="auto"/>
                          <w:jc w:val="right"/>
                          <w:rPr>
                            <w:rFonts w:ascii="Tahoma" w:eastAsia="Times New Roman" w:hAnsi="Tahoma" w:cs="Tahoma"/>
                            <w:color w:val="505050"/>
                            <w:sz w:val="18"/>
                            <w:szCs w:val="18"/>
                            <w:lang w:eastAsia="en-US"/>
                          </w:rPr>
                        </w:pPr>
                        <w:r>
                          <w:rPr>
                            <w:rFonts w:ascii="Tahoma" w:eastAsia="Times New Roman" w:hAnsi="Tahoma" w:cs="Tahoma"/>
                            <w:color w:val="505050"/>
                            <w:sz w:val="18"/>
                            <w:szCs w:val="18"/>
                            <w:lang w:eastAsia="en-US"/>
                          </w:rPr>
                          <w:lastRenderedPageBreak/>
                          <w:t>© Ofsted 2020</w:t>
                        </w:r>
                      </w:p>
                    </w:tc>
                  </w:tr>
                </w:tbl>
                <w:p w:rsidR="009B6EB7" w:rsidRDefault="009B6EB7">
                  <w:pPr>
                    <w:rPr>
                      <w:rFonts w:asciiTheme="minorHAnsi" w:hAnsiTheme="minorHAnsi"/>
                      <w:sz w:val="22"/>
                      <w:szCs w:val="22"/>
                      <w:lang w:eastAsia="en-US"/>
                    </w:rPr>
                  </w:pPr>
                </w:p>
              </w:tc>
            </w:tr>
          </w:tbl>
          <w:p w:rsidR="009B6EB7" w:rsidRDefault="009B6EB7">
            <w:pPr>
              <w:jc w:val="center"/>
              <w:rPr>
                <w:rFonts w:asciiTheme="minorHAnsi" w:hAnsiTheme="minorHAnsi"/>
                <w:sz w:val="22"/>
                <w:szCs w:val="22"/>
                <w:lang w:eastAsia="en-US"/>
              </w:rPr>
            </w:pPr>
          </w:p>
        </w:tc>
      </w:tr>
    </w:tbl>
    <w:p w:rsidR="003E71B3" w:rsidRDefault="003E71B3">
      <w:bookmarkStart w:id="0" w:name="_GoBack"/>
      <w:bookmarkEnd w:id="0"/>
    </w:p>
    <w:sectPr w:rsidR="003E7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52276"/>
    <w:multiLevelType w:val="multilevel"/>
    <w:tmpl w:val="7F82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B7"/>
    <w:rsid w:val="003E71B3"/>
    <w:rsid w:val="009B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94535-36EB-48D5-9F08-0ECBCD5E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EB7"/>
    <w:rPr>
      <w:color w:val="0563C1" w:themeColor="hyperlink"/>
      <w:u w:val="single"/>
    </w:rPr>
  </w:style>
  <w:style w:type="paragraph" w:styleId="NormalWeb">
    <w:name w:val="Normal (Web)"/>
    <w:basedOn w:val="Normal"/>
    <w:uiPriority w:val="99"/>
    <w:semiHidden/>
    <w:unhideWhenUsed/>
    <w:rsid w:val="009B6EB7"/>
    <w:pPr>
      <w:spacing w:before="100" w:beforeAutospacing="1" w:after="100" w:afterAutospacing="1"/>
    </w:pPr>
  </w:style>
  <w:style w:type="character" w:styleId="Emphasis">
    <w:name w:val="Emphasis"/>
    <w:basedOn w:val="DefaultParagraphFont"/>
    <w:uiPriority w:val="20"/>
    <w:qFormat/>
    <w:rsid w:val="009B6EB7"/>
    <w:rPr>
      <w:i/>
      <w:iCs/>
    </w:rPr>
  </w:style>
  <w:style w:type="character" w:styleId="Strong">
    <w:name w:val="Strong"/>
    <w:basedOn w:val="DefaultParagraphFont"/>
    <w:uiPriority w:val="22"/>
    <w:qFormat/>
    <w:rsid w:val="009B6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4.list-manage.com/track/click?u=46387df40cbf78623e0679b2f&amp;id=1f1d598968&amp;e=ffe7216036" TargetMode="External"/><Relationship Id="rId13" Type="http://schemas.openxmlformats.org/officeDocument/2006/relationships/hyperlink" Target="https://www.us4.list-manage.com/track/click?u=46387df40cbf78623e0679b2f&amp;id=cfd4715b16&amp;e=ffe72160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us4.list-manage.com/track/click?u=46387df40cbf78623e0679b2f&amp;id=32ffe7c877&amp;e=ffe72160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TE@ofsted.gov.uk"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us4.list-manage.com/track/click?u=46387df40cbf78623e0679b2f&amp;id=9ebc540f68&amp;e=ffe7216036" TargetMode="External"/><Relationship Id="rId5" Type="http://schemas.openxmlformats.org/officeDocument/2006/relationships/hyperlink" Target="https://www.us4.list-manage.com/track/click?u=46387df40cbf78623e0679b2f&amp;id=0f62aa2b58&amp;e=ffe7216036" TargetMode="External"/><Relationship Id="rId15" Type="http://schemas.openxmlformats.org/officeDocument/2006/relationships/hyperlink" Target="mailto:ITE@ofsted.gov.uk" TargetMode="External"/><Relationship Id="rId10" Type="http://schemas.openxmlformats.org/officeDocument/2006/relationships/hyperlink" Target="https://www.us4.list-manage.com/track/click?u=46387df40cbf78623e0679b2f&amp;id=f159585e58&amp;e=ffe7216036" TargetMode="External"/><Relationship Id="rId4" Type="http://schemas.openxmlformats.org/officeDocument/2006/relationships/webSettings" Target="webSettings.xml"/><Relationship Id="rId9" Type="http://schemas.openxmlformats.org/officeDocument/2006/relationships/hyperlink" Target="https://www.us4.list-manage.com/track/click?u=46387df40cbf78623e0679b2f&amp;id=5e183460e3&amp;e=ffe7216036" TargetMode="External"/><Relationship Id="rId14" Type="http://schemas.openxmlformats.org/officeDocument/2006/relationships/hyperlink" Target="https://www.us4.list-manage.com/track/click?u=46387df40cbf78623e0679b2f&amp;id=a679b121d2&amp;e=ffe7216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2021-01-15T11:00:00Z</dcterms:created>
  <dcterms:modified xsi:type="dcterms:W3CDTF">2021-01-15T11:00:00Z</dcterms:modified>
</cp:coreProperties>
</file>