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990E62">
        <w:rPr>
          <w:rFonts w:ascii="Arial" w:hAnsi="Arial" w:cs="Arial"/>
          <w:b/>
          <w:sz w:val="20"/>
          <w:szCs w:val="20"/>
        </w:rPr>
        <w:t>ITE primary &amp; early years f</w:t>
      </w:r>
      <w:r>
        <w:rPr>
          <w:rFonts w:ascii="Arial" w:hAnsi="Arial" w:cs="Arial"/>
          <w:b/>
          <w:sz w:val="20"/>
          <w:szCs w:val="20"/>
        </w:rPr>
        <w:t xml:space="preserve">orum to take place at </w:t>
      </w:r>
      <w:r w:rsidR="00F74699">
        <w:rPr>
          <w:rFonts w:ascii="Arial" w:hAnsi="Arial" w:cs="Arial"/>
          <w:b/>
          <w:sz w:val="20"/>
          <w:szCs w:val="20"/>
          <w:u w:val="single"/>
        </w:rPr>
        <w:t>1p</w:t>
      </w:r>
      <w:r w:rsidRPr="00C76BA5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on Tuesday </w:t>
      </w:r>
      <w:r w:rsidR="00397A7E">
        <w:rPr>
          <w:rFonts w:ascii="Arial" w:hAnsi="Arial" w:cs="Arial"/>
          <w:b/>
          <w:sz w:val="20"/>
          <w:szCs w:val="20"/>
        </w:rPr>
        <w:t xml:space="preserve">17 </w:t>
      </w:r>
      <w:r w:rsidR="004F61D2">
        <w:rPr>
          <w:rFonts w:ascii="Arial" w:hAnsi="Arial" w:cs="Arial"/>
          <w:b/>
          <w:sz w:val="20"/>
          <w:szCs w:val="20"/>
        </w:rPr>
        <w:t>November</w:t>
      </w:r>
      <w:r w:rsidR="00397A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2020</w:t>
      </w:r>
    </w:p>
    <w:p w:rsidR="00AB6A74" w:rsidRDefault="00AB6A7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AB6A74" w:rsidRDefault="00306B3A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There </w:t>
      </w:r>
      <w:r w:rsidR="00AB6A74">
        <w:rPr>
          <w:rFonts w:ascii="Arial" w:hAnsi="Arial" w:cs="Arial"/>
          <w:b/>
          <w:sz w:val="20"/>
          <w:szCs w:val="20"/>
        </w:rPr>
        <w:t xml:space="preserve">will be a morning symposium beginning at </w:t>
      </w:r>
      <w:r w:rsidR="001F04DB">
        <w:rPr>
          <w:rFonts w:ascii="Arial" w:hAnsi="Arial" w:cs="Arial"/>
          <w:b/>
          <w:sz w:val="20"/>
          <w:szCs w:val="20"/>
          <w:u w:val="single"/>
        </w:rPr>
        <w:t>10.0</w:t>
      </w:r>
      <w:bookmarkStart w:id="0" w:name="_GoBack"/>
      <w:bookmarkEnd w:id="0"/>
      <w:r w:rsidR="00AB6A74" w:rsidRPr="00306B3A">
        <w:rPr>
          <w:rFonts w:ascii="Arial" w:hAnsi="Arial" w:cs="Arial"/>
          <w:b/>
          <w:sz w:val="20"/>
          <w:szCs w:val="20"/>
          <w:u w:val="single"/>
        </w:rPr>
        <w:t>0am</w:t>
      </w:r>
      <w:r w:rsidR="00AB6A74">
        <w:rPr>
          <w:rFonts w:ascii="Arial" w:hAnsi="Arial" w:cs="Arial"/>
          <w:b/>
          <w:sz w:val="20"/>
          <w:szCs w:val="20"/>
        </w:rPr>
        <w:t xml:space="preserve"> on: </w:t>
      </w:r>
      <w:r>
        <w:rPr>
          <w:rFonts w:ascii="Arial" w:hAnsi="Arial" w:cs="Arial"/>
          <w:b/>
          <w:sz w:val="20"/>
          <w:szCs w:val="20"/>
        </w:rPr>
        <w:t>(a) preparing for the new OfSTED framework and the CCF led by Des Hewitt; and b) the delivery of blended learning led by Jan Ashbridge. Invitations for this have been issued separately. If you have not yet register</w:t>
      </w:r>
      <w:r w:rsidR="009B6BAD">
        <w:rPr>
          <w:rFonts w:ascii="Arial" w:hAnsi="Arial" w:cs="Arial"/>
          <w:b/>
          <w:sz w:val="20"/>
          <w:szCs w:val="20"/>
        </w:rPr>
        <w:t>ed</w:t>
      </w:r>
      <w:r>
        <w:rPr>
          <w:rFonts w:ascii="Arial" w:hAnsi="Arial" w:cs="Arial"/>
          <w:b/>
          <w:sz w:val="20"/>
          <w:szCs w:val="20"/>
        </w:rPr>
        <w:t xml:space="preserve"> but would like to attend, please contact Max Fincher at m.fincher@ucet.ac.uk</w:t>
      </w: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of the previous meeting 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</w:t>
      </w:r>
    </w:p>
    <w:p w:rsidR="00370469" w:rsidRDefault="00370469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Morning symposia: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 from morning symposium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Topics for future symposia</w:t>
      </w:r>
    </w:p>
    <w:p w:rsidR="004F318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 19: </w:t>
      </w:r>
    </w:p>
    <w:p w:rsidR="00370469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 requirement relaxations</w:t>
      </w:r>
    </w:p>
    <w:p w:rsidR="004F3187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Placements and risk assessments</w:t>
      </w:r>
    </w:p>
    <w:p w:rsidR="00AB6A74" w:rsidRDefault="00AB6A74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assuring ITE delivery</w:t>
      </w:r>
    </w:p>
    <w:p w:rsidR="003259EF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blog</w:t>
      </w:r>
    </w:p>
    <w:p w:rsidR="00990E62" w:rsidRDefault="00216AA5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ITE </w:t>
      </w:r>
      <w:r w:rsidR="00990E62">
        <w:rPr>
          <w:rFonts w:ascii="Arial" w:hAnsi="Arial" w:cs="Arial"/>
          <w:b/>
          <w:sz w:val="20"/>
          <w:szCs w:val="20"/>
        </w:rPr>
        <w:t>recruitment: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 on applications</w:t>
      </w:r>
      <w:r w:rsidR="00216AA5">
        <w:rPr>
          <w:rFonts w:ascii="Arial" w:hAnsi="Arial" w:cs="Arial"/>
          <w:b/>
          <w:sz w:val="20"/>
          <w:szCs w:val="20"/>
        </w:rPr>
        <w:t xml:space="preserve"> and recruitment</w:t>
      </w:r>
    </w:p>
    <w:p w:rsidR="0037046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370469">
        <w:rPr>
          <w:rFonts w:ascii="Arial" w:hAnsi="Arial" w:cs="Arial"/>
          <w:b/>
          <w:sz w:val="20"/>
          <w:szCs w:val="20"/>
        </w:rPr>
        <w:t>Feedback on application processes</w:t>
      </w:r>
    </w:p>
    <w:p w:rsidR="0037046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 bursaries</w:t>
      </w:r>
    </w:p>
    <w:p w:rsidR="00370469" w:rsidRPr="0037046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370469">
        <w:rPr>
          <w:rFonts w:ascii="Arial" w:hAnsi="Arial" w:cs="Arial"/>
          <w:b/>
          <w:sz w:val="20"/>
          <w:szCs w:val="20"/>
        </w:rPr>
        <w:t>New Apply system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Regulatory issues:</w:t>
      </w:r>
    </w:p>
    <w:p w:rsidR="00370469" w:rsidRDefault="00370469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OfSTED inspections framework &amp; handbook</w:t>
      </w:r>
    </w:p>
    <w:p w:rsidR="00306B3A" w:rsidRDefault="00E7792F" w:rsidP="00052E6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Core Content Framework for ITE</w:t>
      </w:r>
    </w:p>
    <w:p w:rsidR="009C1E96" w:rsidRDefault="009C1E96" w:rsidP="009C1E9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Early years issues</w:t>
      </w:r>
    </w:p>
    <w:p w:rsidR="00370469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Items for information:</w:t>
      </w:r>
    </w:p>
    <w:p w:rsidR="003259EF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strategy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summer newsletter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Default="00306B3A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next meeting: </w:t>
      </w:r>
      <w:r w:rsidRPr="00E7792F">
        <w:rPr>
          <w:rFonts w:ascii="Arial" w:hAnsi="Arial" w:cs="Arial"/>
          <w:b/>
          <w:sz w:val="20"/>
          <w:szCs w:val="20"/>
          <w:u w:val="single"/>
        </w:rPr>
        <w:t>Friday 5</w:t>
      </w:r>
      <w:r>
        <w:rPr>
          <w:rFonts w:ascii="Arial" w:hAnsi="Arial" w:cs="Arial"/>
          <w:b/>
          <w:sz w:val="20"/>
          <w:szCs w:val="20"/>
        </w:rPr>
        <w:t xml:space="preserve"> March 2021 (via zoom)</w:t>
      </w:r>
    </w:p>
    <w:p w:rsidR="00306B3A" w:rsidRDefault="00306B3A" w:rsidP="00306B3A">
      <w:pPr>
        <w:rPr>
          <w:rFonts w:ascii="Arial" w:hAnsi="Arial" w:cs="Arial"/>
          <w:b/>
          <w:sz w:val="20"/>
          <w:szCs w:val="20"/>
        </w:rPr>
      </w:pPr>
    </w:p>
    <w:p w:rsidR="00306B3A" w:rsidRDefault="00306B3A" w:rsidP="00306B3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papers</w:t>
      </w:r>
    </w:p>
    <w:p w:rsidR="00306B3A" w:rsidRDefault="00306B3A" w:rsidP="00306B3A">
      <w:pPr>
        <w:rPr>
          <w:rFonts w:ascii="Arial" w:hAnsi="Arial" w:cs="Arial"/>
          <w:sz w:val="20"/>
          <w:szCs w:val="20"/>
          <w:u w:val="single"/>
        </w:rPr>
      </w:pP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of 9 June 2020 meeting</w:t>
      </w: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requirements</w:t>
      </w: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 advice on placement procedures</w:t>
      </w:r>
    </w:p>
    <w:p w:rsidR="00306B3A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guidance on</w:t>
      </w:r>
      <w:r w:rsidR="00306B3A">
        <w:rPr>
          <w:rFonts w:ascii="Arial" w:hAnsi="Arial" w:cs="Arial"/>
          <w:sz w:val="20"/>
          <w:szCs w:val="20"/>
        </w:rPr>
        <w:t xml:space="preserve"> placement risk assessments</w:t>
      </w: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blog on ITE providers and Covid 19</w:t>
      </w:r>
    </w:p>
    <w:p w:rsidR="00BB0D72" w:rsidRDefault="00BB0D72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NFER report on ITE applications</w:t>
      </w:r>
    </w:p>
    <w:p w:rsidR="00306B3A" w:rsidRDefault="009A0F68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Gibb letter to sector, September 2020</w:t>
      </w:r>
    </w:p>
    <w:p w:rsidR="00E7792F" w:rsidRDefault="00E7792F" w:rsidP="00E7792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Apply</w:t>
      </w:r>
      <w:r w:rsidR="009A0F68">
        <w:rPr>
          <w:rFonts w:ascii="Arial" w:hAnsi="Arial" w:cs="Arial"/>
          <w:sz w:val="20"/>
          <w:szCs w:val="20"/>
        </w:rPr>
        <w:t xml:space="preserve"> documentation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inspection framework &amp; handbook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statement on OfSTED framework and CCF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advice of systematic synthetic phonics and the OfSTED framework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CCF resources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strategy document</w:t>
      </w:r>
    </w:p>
    <w:p w:rsidR="00E7792F" w:rsidRPr="00306B3A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UCET summer newsletter</w:t>
      </w:r>
    </w:p>
    <w:sectPr w:rsidR="00E7792F" w:rsidRPr="00306B3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1F04DB"/>
    <w:rsid w:val="00216AA5"/>
    <w:rsid w:val="00263612"/>
    <w:rsid w:val="002B18AF"/>
    <w:rsid w:val="002D28F2"/>
    <w:rsid w:val="003030E1"/>
    <w:rsid w:val="00306B3A"/>
    <w:rsid w:val="003259EF"/>
    <w:rsid w:val="003353A2"/>
    <w:rsid w:val="00335CAC"/>
    <w:rsid w:val="003701A6"/>
    <w:rsid w:val="00370469"/>
    <w:rsid w:val="00373FDA"/>
    <w:rsid w:val="00397A7E"/>
    <w:rsid w:val="003A07AB"/>
    <w:rsid w:val="003E399F"/>
    <w:rsid w:val="003E6C64"/>
    <w:rsid w:val="004020BF"/>
    <w:rsid w:val="00404BC9"/>
    <w:rsid w:val="00406E3F"/>
    <w:rsid w:val="00411DCD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4F61D2"/>
    <w:rsid w:val="0050585C"/>
    <w:rsid w:val="00510CD9"/>
    <w:rsid w:val="005241D6"/>
    <w:rsid w:val="00587A14"/>
    <w:rsid w:val="005F6649"/>
    <w:rsid w:val="006036A6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0E62"/>
    <w:rsid w:val="009927E3"/>
    <w:rsid w:val="009A0F68"/>
    <w:rsid w:val="009B4042"/>
    <w:rsid w:val="009B6BAD"/>
    <w:rsid w:val="009C1E96"/>
    <w:rsid w:val="00A62726"/>
    <w:rsid w:val="00A65CFD"/>
    <w:rsid w:val="00A97D3F"/>
    <w:rsid w:val="00AA07DD"/>
    <w:rsid w:val="00AA3673"/>
    <w:rsid w:val="00AB568E"/>
    <w:rsid w:val="00AB6A74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0D72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76BA5"/>
    <w:rsid w:val="00CA218C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7792F"/>
    <w:rsid w:val="00EE5B58"/>
    <w:rsid w:val="00EF3310"/>
    <w:rsid w:val="00F263AC"/>
    <w:rsid w:val="00F27355"/>
    <w:rsid w:val="00F325CB"/>
    <w:rsid w:val="00F32B1D"/>
    <w:rsid w:val="00F41BF4"/>
    <w:rsid w:val="00F6662E"/>
    <w:rsid w:val="00F738CB"/>
    <w:rsid w:val="00F74699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05658C-82E6-4EC8-9E22-AA356DA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0F7F-93D1-4AAB-8C7C-0E36CFA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2020-10-20T10:17:00Z</cp:lastPrinted>
  <dcterms:created xsi:type="dcterms:W3CDTF">2020-10-20T10:22:00Z</dcterms:created>
  <dcterms:modified xsi:type="dcterms:W3CDTF">2020-11-16T09:16:00Z</dcterms:modified>
</cp:coreProperties>
</file>