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0108A" w14:textId="5B5953AF" w:rsidR="00802DC6" w:rsidRDefault="00AA6A32">
      <w:pPr>
        <w:rPr>
          <w:b/>
          <w:bCs/>
          <w:sz w:val="28"/>
          <w:szCs w:val="28"/>
          <w:lang w:val="en-US"/>
        </w:rPr>
      </w:pPr>
      <w:r w:rsidRPr="003757D6">
        <w:rPr>
          <w:b/>
          <w:bCs/>
          <w:sz w:val="28"/>
          <w:szCs w:val="28"/>
          <w:lang w:val="en-US"/>
        </w:rPr>
        <w:t xml:space="preserve">Additional guidance </w:t>
      </w:r>
      <w:r w:rsidR="00970B0E">
        <w:rPr>
          <w:b/>
          <w:bCs/>
          <w:sz w:val="28"/>
          <w:szCs w:val="28"/>
          <w:lang w:val="en-US"/>
        </w:rPr>
        <w:t xml:space="preserve">from UCET </w:t>
      </w:r>
      <w:r w:rsidRPr="003757D6">
        <w:rPr>
          <w:b/>
          <w:bCs/>
          <w:sz w:val="28"/>
          <w:szCs w:val="28"/>
          <w:lang w:val="en-US"/>
        </w:rPr>
        <w:t>on student teachers on DET courses disrupted due to Covid 19</w:t>
      </w:r>
    </w:p>
    <w:p w14:paraId="293079B2" w14:textId="0BA89750" w:rsidR="00AA6A32" w:rsidRDefault="003757D6">
      <w:pPr>
        <w:rPr>
          <w:lang w:val="en-US"/>
        </w:rPr>
      </w:pPr>
      <w:r>
        <w:rPr>
          <w:b/>
          <w:bCs/>
          <w:sz w:val="28"/>
          <w:szCs w:val="28"/>
          <w:lang w:val="en-US"/>
        </w:rPr>
        <w:t>19 March 2020</w:t>
      </w:r>
    </w:p>
    <w:p w14:paraId="385A53DF" w14:textId="0CEC5637" w:rsidR="00AA6A32" w:rsidRPr="00AA6A32" w:rsidRDefault="00AA6A32">
      <w:pPr>
        <w:rPr>
          <w:i/>
          <w:lang w:val="en-US"/>
        </w:rPr>
      </w:pPr>
      <w:r>
        <w:rPr>
          <w:lang w:val="en-US"/>
        </w:rPr>
        <w:t xml:space="preserve">ETF </w:t>
      </w:r>
      <w:r w:rsidR="00970B0E">
        <w:rPr>
          <w:lang w:val="en-US"/>
        </w:rPr>
        <w:t xml:space="preserve">as stated that it </w:t>
      </w:r>
      <w:bookmarkStart w:id="0" w:name="_GoBack"/>
      <w:bookmarkEnd w:id="0"/>
      <w:r>
        <w:rPr>
          <w:lang w:val="en-US"/>
        </w:rPr>
        <w:t xml:space="preserve">recognizes that the current extreme situation means disruption for both providers and student teachers on FE ITE programmes. We are keen that this does not unfairly work against those student teachers who were progressing well and had </w:t>
      </w:r>
      <w:r w:rsidR="00C92249">
        <w:rPr>
          <w:lang w:val="en-US"/>
        </w:rPr>
        <w:t xml:space="preserve">an expectation of satisfactorily </w:t>
      </w:r>
      <w:r>
        <w:rPr>
          <w:lang w:val="en-US"/>
        </w:rPr>
        <w:t>completin</w:t>
      </w:r>
      <w:r w:rsidR="00C92249">
        <w:rPr>
          <w:lang w:val="en-US"/>
        </w:rPr>
        <w:t>g their ITE programmes</w:t>
      </w:r>
      <w:r>
        <w:rPr>
          <w:lang w:val="en-US"/>
        </w:rPr>
        <w:t>. Therefore</w:t>
      </w:r>
      <w:r w:rsidR="008B045C">
        <w:rPr>
          <w:lang w:val="en-US"/>
        </w:rPr>
        <w:t>,</w:t>
      </w:r>
      <w:r>
        <w:rPr>
          <w:lang w:val="en-US"/>
        </w:rPr>
        <w:t xml:space="preserve"> we are issuing the following recommendations to Awarding Organisations to cover this particular period with regard to reasonable adjustment. </w:t>
      </w:r>
      <w:r w:rsidR="003757D6">
        <w:rPr>
          <w:lang w:val="en-US"/>
        </w:rPr>
        <w:t>These</w:t>
      </w:r>
      <w:r>
        <w:rPr>
          <w:lang w:val="en-US"/>
        </w:rPr>
        <w:t xml:space="preserve"> relate to the requirements for teaching practice and corresponding number of observations.</w:t>
      </w:r>
      <w:r w:rsidR="003757D6">
        <w:rPr>
          <w:lang w:val="en-US"/>
        </w:rPr>
        <w:t xml:space="preserve"> We hope by the issue of this document to avoid disparities in the ways in which Awarding Organisations respond to the current situation.</w:t>
      </w:r>
    </w:p>
    <w:p w14:paraId="05C4B988" w14:textId="569A92F2" w:rsidR="00AA6A32" w:rsidRDefault="00AA6A32">
      <w:pPr>
        <w:rPr>
          <w:lang w:val="en-US"/>
        </w:rPr>
      </w:pPr>
      <w:r>
        <w:rPr>
          <w:lang w:val="en-US"/>
        </w:rPr>
        <w:t xml:space="preserve">The following applies </w:t>
      </w:r>
      <w:r w:rsidR="00B662EF">
        <w:rPr>
          <w:lang w:val="en-US"/>
        </w:rPr>
        <w:t xml:space="preserve">in particular </w:t>
      </w:r>
      <w:r>
        <w:rPr>
          <w:lang w:val="en-US"/>
        </w:rPr>
        <w:t>to</w:t>
      </w:r>
      <w:r w:rsidR="00D8101E">
        <w:rPr>
          <w:lang w:val="en-US"/>
        </w:rPr>
        <w:t xml:space="preserve">, but not limited to, </w:t>
      </w:r>
      <w:r>
        <w:rPr>
          <w:lang w:val="en-US"/>
        </w:rPr>
        <w:t>those</w:t>
      </w:r>
      <w:r w:rsidR="00D8101E">
        <w:rPr>
          <w:lang w:val="en-US"/>
        </w:rPr>
        <w:t xml:space="preserve"> </w:t>
      </w:r>
      <w:r>
        <w:rPr>
          <w:lang w:val="en-US"/>
        </w:rPr>
        <w:t>undertaking a one year</w:t>
      </w:r>
      <w:r w:rsidR="007240A6">
        <w:rPr>
          <w:lang w:val="en-US"/>
        </w:rPr>
        <w:t xml:space="preserve"> Pre-Service</w:t>
      </w:r>
      <w:r>
        <w:rPr>
          <w:lang w:val="en-US"/>
        </w:rPr>
        <w:t xml:space="preserve"> DET programme or those who are in the second year of a two year </w:t>
      </w:r>
      <w:r w:rsidR="007240A6">
        <w:rPr>
          <w:lang w:val="en-US"/>
        </w:rPr>
        <w:t>Pre-</w:t>
      </w:r>
      <w:r w:rsidR="00A37A3D">
        <w:rPr>
          <w:lang w:val="en-US"/>
        </w:rPr>
        <w:t xml:space="preserve"> or In-Service</w:t>
      </w:r>
      <w:r>
        <w:rPr>
          <w:lang w:val="en-US"/>
        </w:rPr>
        <w:t xml:space="preserve"> programme</w:t>
      </w:r>
      <w:r w:rsidR="00B14713">
        <w:rPr>
          <w:lang w:val="en-US"/>
        </w:rPr>
        <w:t xml:space="preserve"> with an expectation of graduating in Summer 2020. </w:t>
      </w:r>
      <w:r w:rsidR="00A37A3D">
        <w:rPr>
          <w:lang w:val="en-US"/>
        </w:rPr>
        <w:t>A</w:t>
      </w:r>
      <w:r w:rsidR="00B662EF">
        <w:rPr>
          <w:lang w:val="en-US"/>
        </w:rPr>
        <w:t>lthough depending on how long the current disruption lasts it m</w:t>
      </w:r>
      <w:r w:rsidR="007C1CCD">
        <w:rPr>
          <w:lang w:val="en-US"/>
        </w:rPr>
        <w:t>ay</w:t>
      </w:r>
      <w:r w:rsidR="00B662EF">
        <w:rPr>
          <w:lang w:val="en-US"/>
        </w:rPr>
        <w:t xml:space="preserve"> also apply to those currently in the first year of two year programmes. </w:t>
      </w:r>
      <w:r w:rsidR="00BB03F1">
        <w:rPr>
          <w:lang w:val="en-US"/>
        </w:rPr>
        <w:t xml:space="preserve">Additional guidance will be issued should this be the case. </w:t>
      </w:r>
    </w:p>
    <w:p w14:paraId="3C1B0F82" w14:textId="793247CB" w:rsidR="00161A46" w:rsidRDefault="00AA6A32">
      <w:pPr>
        <w:rPr>
          <w:lang w:val="en-US"/>
        </w:rPr>
      </w:pPr>
      <w:r>
        <w:rPr>
          <w:lang w:val="en-US"/>
        </w:rPr>
        <w:t xml:space="preserve">Providing that the student teacher has satisfactorily completed all other course assignment work, it is acceptable for Awarding Organisations to award a Pass to student teachers who </w:t>
      </w:r>
      <w:r w:rsidR="00B662EF">
        <w:rPr>
          <w:lang w:val="en-US"/>
        </w:rPr>
        <w:t>in their opinion have , or are on a trajectory towards, meeting the professional standards for teaching in the learning and skills sector and whose programmes meet the requirements set out in the ETF DET criteria, other than those relating to placement hours and lesson observation when these are not practicable because of the current situation. In such cases, Awardi</w:t>
      </w:r>
      <w:r w:rsidR="00C92249">
        <w:rPr>
          <w:lang w:val="en-US"/>
        </w:rPr>
        <w:t xml:space="preserve">ng Institutions </w:t>
      </w:r>
      <w:r w:rsidR="00B662EF">
        <w:rPr>
          <w:lang w:val="en-US"/>
        </w:rPr>
        <w:t>should consider what alternative measures might be taken to allow students to demonst</w:t>
      </w:r>
      <w:r w:rsidR="00C92249">
        <w:rPr>
          <w:lang w:val="en-US"/>
        </w:rPr>
        <w:t xml:space="preserve">rate </w:t>
      </w:r>
      <w:r w:rsidR="00B662EF">
        <w:rPr>
          <w:lang w:val="en-US"/>
        </w:rPr>
        <w:t>that they have met the required standards.</w:t>
      </w:r>
      <w:r w:rsidR="007D3DA1">
        <w:rPr>
          <w:lang w:val="en-US"/>
        </w:rPr>
        <w:t xml:space="preserve"> </w:t>
      </w:r>
      <w:r w:rsidR="006809FE">
        <w:rPr>
          <w:lang w:val="en-US"/>
        </w:rPr>
        <w:t xml:space="preserve"> </w:t>
      </w:r>
      <w:r w:rsidR="0057290D">
        <w:rPr>
          <w:lang w:val="en-US"/>
        </w:rPr>
        <w:t>E</w:t>
      </w:r>
      <w:r w:rsidR="005C4986">
        <w:rPr>
          <w:lang w:val="en-US"/>
        </w:rPr>
        <w:t>xample</w:t>
      </w:r>
      <w:r w:rsidR="0057290D">
        <w:rPr>
          <w:lang w:val="en-US"/>
        </w:rPr>
        <w:t>s of</w:t>
      </w:r>
      <w:r w:rsidR="005C4986">
        <w:rPr>
          <w:lang w:val="en-US"/>
        </w:rPr>
        <w:t xml:space="preserve"> th</w:t>
      </w:r>
      <w:r w:rsidR="002C7E6A">
        <w:rPr>
          <w:lang w:val="en-US"/>
        </w:rPr>
        <w:t>ese alternative measures</w:t>
      </w:r>
      <w:r w:rsidR="005C4986">
        <w:rPr>
          <w:lang w:val="en-US"/>
        </w:rPr>
        <w:t xml:space="preserve"> could be</w:t>
      </w:r>
      <w:r w:rsidR="00161A46">
        <w:rPr>
          <w:lang w:val="en-US"/>
        </w:rPr>
        <w:t xml:space="preserve">: </w:t>
      </w:r>
    </w:p>
    <w:p w14:paraId="4A2FCA57" w14:textId="06507F69" w:rsidR="007346FD" w:rsidRPr="00616EA0" w:rsidRDefault="007346FD" w:rsidP="00616EA0">
      <w:pPr>
        <w:pStyle w:val="ListParagraph"/>
        <w:numPr>
          <w:ilvl w:val="0"/>
          <w:numId w:val="3"/>
        </w:numPr>
        <w:rPr>
          <w:lang w:val="en-US"/>
        </w:rPr>
      </w:pPr>
      <w:r w:rsidRPr="00616EA0">
        <w:rPr>
          <w:lang w:val="en-US"/>
        </w:rPr>
        <w:t xml:space="preserve">Over 70% of the teaching practice hours </w:t>
      </w:r>
      <w:r w:rsidR="005D1CC1" w:rsidRPr="00616EA0">
        <w:rPr>
          <w:lang w:val="en-US"/>
        </w:rPr>
        <w:t>already</w:t>
      </w:r>
      <w:r w:rsidR="00205684" w:rsidRPr="00616EA0">
        <w:rPr>
          <w:lang w:val="en-US"/>
        </w:rPr>
        <w:t xml:space="preserve"> </w:t>
      </w:r>
      <w:r w:rsidR="006D5E7D" w:rsidRPr="00616EA0">
        <w:rPr>
          <w:lang w:val="en-US"/>
        </w:rPr>
        <w:t>achieved</w:t>
      </w:r>
    </w:p>
    <w:p w14:paraId="455B2443" w14:textId="37D0A18A" w:rsidR="007346FD" w:rsidRPr="00616EA0" w:rsidRDefault="00F46847" w:rsidP="00616EA0">
      <w:pPr>
        <w:pStyle w:val="ListParagraph"/>
        <w:numPr>
          <w:ilvl w:val="0"/>
          <w:numId w:val="3"/>
        </w:numPr>
        <w:rPr>
          <w:lang w:val="en-US"/>
        </w:rPr>
      </w:pPr>
      <w:r w:rsidRPr="00616EA0">
        <w:rPr>
          <w:lang w:val="en-US"/>
        </w:rPr>
        <w:t xml:space="preserve">6 teaching observations </w:t>
      </w:r>
      <w:r w:rsidR="007932C6" w:rsidRPr="00616EA0">
        <w:rPr>
          <w:lang w:val="en-US"/>
        </w:rPr>
        <w:t xml:space="preserve">demonstrate a </w:t>
      </w:r>
      <w:r w:rsidRPr="00616EA0">
        <w:rPr>
          <w:lang w:val="en-US"/>
        </w:rPr>
        <w:t>satisfactory or better level</w:t>
      </w:r>
      <w:r w:rsidR="007932C6" w:rsidRPr="00616EA0">
        <w:rPr>
          <w:lang w:val="en-US"/>
        </w:rPr>
        <w:t xml:space="preserve"> of </w:t>
      </w:r>
      <w:r w:rsidR="00904E37" w:rsidRPr="00616EA0">
        <w:rPr>
          <w:lang w:val="en-US"/>
        </w:rPr>
        <w:t>achievement</w:t>
      </w:r>
    </w:p>
    <w:p w14:paraId="59D1EECB" w14:textId="4261E0BD" w:rsidR="00A16872" w:rsidRPr="00616EA0" w:rsidRDefault="00A16872" w:rsidP="00616EA0">
      <w:pPr>
        <w:pStyle w:val="ListParagraph"/>
        <w:numPr>
          <w:ilvl w:val="0"/>
          <w:numId w:val="3"/>
        </w:numPr>
        <w:rPr>
          <w:lang w:val="en-US"/>
        </w:rPr>
      </w:pPr>
      <w:r w:rsidRPr="00616EA0">
        <w:rPr>
          <w:lang w:val="en-US"/>
        </w:rPr>
        <w:t xml:space="preserve">A detailed assessment by a </w:t>
      </w:r>
      <w:r w:rsidR="00F6779A" w:rsidRPr="00616EA0">
        <w:rPr>
          <w:lang w:val="en-US"/>
        </w:rPr>
        <w:t xml:space="preserve">mentor or line manager that in their opinion </w:t>
      </w:r>
      <w:r w:rsidR="00AA5FF9" w:rsidRPr="00616EA0">
        <w:rPr>
          <w:lang w:val="en-US"/>
        </w:rPr>
        <w:t xml:space="preserve">the </w:t>
      </w:r>
      <w:r w:rsidR="008452B7" w:rsidRPr="00616EA0">
        <w:rPr>
          <w:lang w:val="en-US"/>
        </w:rPr>
        <w:t>student teacher</w:t>
      </w:r>
      <w:r w:rsidR="00AA5FF9" w:rsidRPr="00616EA0">
        <w:rPr>
          <w:lang w:val="en-US"/>
        </w:rPr>
        <w:t xml:space="preserve"> has </w:t>
      </w:r>
      <w:r w:rsidR="00354DF8" w:rsidRPr="00616EA0">
        <w:rPr>
          <w:lang w:val="en-US"/>
        </w:rPr>
        <w:t>demonstrated the</w:t>
      </w:r>
      <w:r w:rsidR="00264106" w:rsidRPr="00616EA0">
        <w:rPr>
          <w:lang w:val="en-US"/>
        </w:rPr>
        <w:t xml:space="preserve">y have met or were on a </w:t>
      </w:r>
      <w:r w:rsidR="00CD7F79" w:rsidRPr="00616EA0">
        <w:rPr>
          <w:lang w:val="en-US"/>
        </w:rPr>
        <w:t>trajectory</w:t>
      </w:r>
      <w:r w:rsidR="00354DF8" w:rsidRPr="00616EA0">
        <w:rPr>
          <w:lang w:val="en-US"/>
        </w:rPr>
        <w:t xml:space="preserve"> to meet the programme requirements. </w:t>
      </w:r>
      <w:r w:rsidR="00AA5FF9" w:rsidRPr="00616EA0">
        <w:rPr>
          <w:lang w:val="en-US"/>
        </w:rPr>
        <w:t xml:space="preserve"> </w:t>
      </w:r>
    </w:p>
    <w:p w14:paraId="7E55B11A" w14:textId="742B4971" w:rsidR="00722911" w:rsidRDefault="00BB2CF5" w:rsidP="00722911">
      <w:pPr>
        <w:rPr>
          <w:lang w:val="en-US"/>
        </w:rPr>
      </w:pPr>
      <w:r>
        <w:rPr>
          <w:lang w:val="en-US"/>
        </w:rPr>
        <w:t>NB-</w:t>
      </w:r>
      <w:r w:rsidR="00644EEB">
        <w:rPr>
          <w:lang w:val="en-US"/>
        </w:rPr>
        <w:t xml:space="preserve">This is not an </w:t>
      </w:r>
      <w:r w:rsidR="00114CA6">
        <w:rPr>
          <w:lang w:val="en-US"/>
        </w:rPr>
        <w:t>exhaustive or prescriptive list</w:t>
      </w:r>
      <w:r w:rsidR="002D6C1E">
        <w:rPr>
          <w:lang w:val="en-US"/>
        </w:rPr>
        <w:t>. In every case</w:t>
      </w:r>
      <w:r w:rsidR="00A00327">
        <w:rPr>
          <w:lang w:val="en-US"/>
        </w:rPr>
        <w:t xml:space="preserve"> a d</w:t>
      </w:r>
      <w:r w:rsidR="002D6C1E">
        <w:rPr>
          <w:lang w:val="en-US"/>
        </w:rPr>
        <w:t xml:space="preserve">etailed action plan </w:t>
      </w:r>
      <w:r w:rsidR="00D22CBA">
        <w:rPr>
          <w:lang w:val="en-US"/>
        </w:rPr>
        <w:t xml:space="preserve">which </w:t>
      </w:r>
      <w:r w:rsidR="002D6C1E">
        <w:rPr>
          <w:lang w:val="en-US"/>
        </w:rPr>
        <w:t>highlight</w:t>
      </w:r>
      <w:r w:rsidR="00D22CBA">
        <w:rPr>
          <w:lang w:val="en-US"/>
        </w:rPr>
        <w:t xml:space="preserve">s </w:t>
      </w:r>
      <w:r w:rsidR="002D6C1E">
        <w:rPr>
          <w:lang w:val="en-US"/>
        </w:rPr>
        <w:t xml:space="preserve">development areas for </w:t>
      </w:r>
      <w:r w:rsidR="00C43879">
        <w:rPr>
          <w:lang w:val="en-US"/>
        </w:rPr>
        <w:t>student teachers</w:t>
      </w:r>
      <w:r w:rsidR="002D6C1E">
        <w:rPr>
          <w:lang w:val="en-US"/>
        </w:rPr>
        <w:t xml:space="preserve"> to take forward in to their first year of teaching</w:t>
      </w:r>
      <w:r w:rsidR="007B035D">
        <w:rPr>
          <w:lang w:val="en-US"/>
        </w:rPr>
        <w:t xml:space="preserve"> should be </w:t>
      </w:r>
      <w:r w:rsidR="003B084E">
        <w:rPr>
          <w:lang w:val="en-US"/>
        </w:rPr>
        <w:t>provided.</w:t>
      </w:r>
    </w:p>
    <w:p w14:paraId="598FF15D" w14:textId="77777777" w:rsidR="005344A0" w:rsidRDefault="003757D6">
      <w:pPr>
        <w:rPr>
          <w:lang w:val="en-US"/>
        </w:rPr>
      </w:pPr>
      <w:r>
        <w:rPr>
          <w:lang w:val="en-US"/>
        </w:rPr>
        <w:t>Hopefully the above means we will not disadvantage those promising students who have shown competence to date whilst not compromising the quality of those progressing to the workforce.</w:t>
      </w:r>
      <w:r w:rsidR="005344A0">
        <w:rPr>
          <w:lang w:val="en-US"/>
        </w:rPr>
        <w:t xml:space="preserve"> </w:t>
      </w:r>
    </w:p>
    <w:p w14:paraId="60D9DEF3" w14:textId="150ADC56" w:rsidR="00B662EF" w:rsidRDefault="00B662EF">
      <w:pPr>
        <w:rPr>
          <w:lang w:val="en-US"/>
        </w:rPr>
      </w:pPr>
      <w:r>
        <w:rPr>
          <w:lang w:val="en-US"/>
        </w:rPr>
        <w:t>In</w:t>
      </w:r>
      <w:r w:rsidR="00C92249">
        <w:rPr>
          <w:lang w:val="en-US"/>
        </w:rPr>
        <w:t xml:space="preserve">dividual </w:t>
      </w:r>
      <w:r>
        <w:rPr>
          <w:lang w:val="en-US"/>
        </w:rPr>
        <w:t>awarding institutions have discretion to</w:t>
      </w:r>
      <w:r w:rsidR="00C92249">
        <w:rPr>
          <w:lang w:val="en-US"/>
        </w:rPr>
        <w:t xml:space="preserve"> set their own further requirements, in the context of their</w:t>
      </w:r>
      <w:r>
        <w:rPr>
          <w:lang w:val="en-US"/>
        </w:rPr>
        <w:t xml:space="preserve"> </w:t>
      </w:r>
      <w:r w:rsidR="00C92249">
        <w:rPr>
          <w:lang w:val="en-US"/>
        </w:rPr>
        <w:t xml:space="preserve">validation procedures and external examiner expectations, in relation to programme content and assessment. </w:t>
      </w:r>
    </w:p>
    <w:p w14:paraId="58841D37" w14:textId="64F429A5" w:rsidR="00C92249" w:rsidRDefault="00C92249">
      <w:pPr>
        <w:rPr>
          <w:lang w:val="en-US"/>
        </w:rPr>
      </w:pPr>
      <w:r>
        <w:rPr>
          <w:lang w:val="en-US"/>
        </w:rPr>
        <w:t xml:space="preserve">This supplementary guidance applies until the end of this academic year when it will be subject to review. </w:t>
      </w:r>
    </w:p>
    <w:p w14:paraId="7DDE71F3" w14:textId="4950322B" w:rsidR="00C92249" w:rsidRDefault="00C92249">
      <w:pPr>
        <w:rPr>
          <w:lang w:val="en-US"/>
        </w:rPr>
      </w:pPr>
      <w:r>
        <w:rPr>
          <w:lang w:val="en-US"/>
        </w:rPr>
        <w:t>Students successfully completing programmes that adhere to the ETF’s DET criteria, as amended in the light of this supplementary guidance, will be able to progress towards QTLS.</w:t>
      </w:r>
    </w:p>
    <w:p w14:paraId="3E313C83" w14:textId="57F41F4F" w:rsidR="00093AF2" w:rsidRDefault="00093AF2">
      <w:pPr>
        <w:rPr>
          <w:lang w:val="en-US"/>
        </w:rPr>
      </w:pPr>
      <w:r>
        <w:rPr>
          <w:lang w:val="en-US"/>
        </w:rPr>
        <w:lastRenderedPageBreak/>
        <w:t xml:space="preserve">UCET </w:t>
      </w:r>
      <w:r w:rsidR="00AA6D04">
        <w:rPr>
          <w:lang w:val="en-US"/>
        </w:rPr>
        <w:t>are</w:t>
      </w:r>
      <w:r>
        <w:rPr>
          <w:lang w:val="en-US"/>
        </w:rPr>
        <w:t xml:space="preserve"> happy to </w:t>
      </w:r>
      <w:r w:rsidR="00AA6D04">
        <w:rPr>
          <w:lang w:val="en-US"/>
        </w:rPr>
        <w:t>advise</w:t>
      </w:r>
      <w:r>
        <w:rPr>
          <w:lang w:val="en-US"/>
        </w:rPr>
        <w:t xml:space="preserve"> </w:t>
      </w:r>
      <w:r w:rsidRPr="00093AF2">
        <w:rPr>
          <w:lang w:val="en-US"/>
        </w:rPr>
        <w:t>colleagues</w:t>
      </w:r>
      <w:r w:rsidR="00AA6D04">
        <w:rPr>
          <w:lang w:val="en-US"/>
        </w:rPr>
        <w:t>,</w:t>
      </w:r>
      <w:r w:rsidRPr="00093AF2">
        <w:rPr>
          <w:lang w:val="en-US"/>
        </w:rPr>
        <w:t xml:space="preserve"> or discuss the</w:t>
      </w:r>
      <w:r>
        <w:rPr>
          <w:lang w:val="en-US"/>
        </w:rPr>
        <w:t xml:space="preserve"> implications</w:t>
      </w:r>
      <w:r w:rsidR="00AA6D04">
        <w:rPr>
          <w:lang w:val="en-US"/>
        </w:rPr>
        <w:t>, on</w:t>
      </w:r>
      <w:r>
        <w:rPr>
          <w:lang w:val="en-US"/>
        </w:rPr>
        <w:t xml:space="preserve"> this guidance. P</w:t>
      </w:r>
      <w:r w:rsidRPr="00093AF2">
        <w:rPr>
          <w:lang w:val="en-US"/>
        </w:rPr>
        <w:t xml:space="preserve">lease contact </w:t>
      </w:r>
      <w:r>
        <w:rPr>
          <w:lang w:val="en-US"/>
        </w:rPr>
        <w:t xml:space="preserve">Post 16 Chair Karen McGrath on </w:t>
      </w:r>
      <w:hyperlink r:id="rId8" w:history="1">
        <w:r w:rsidRPr="008E3B70">
          <w:rPr>
            <w:rStyle w:val="Hyperlink"/>
            <w:lang w:val="en-US"/>
          </w:rPr>
          <w:t>karen.mcgrath@bcu.ac.uo</w:t>
        </w:r>
      </w:hyperlink>
      <w:r>
        <w:rPr>
          <w:lang w:val="en-US"/>
        </w:rPr>
        <w:t xml:space="preserve"> or Vice Chair Russell Shobrook on </w:t>
      </w:r>
      <w:hyperlink r:id="rId9" w:history="1">
        <w:r>
          <w:rPr>
            <w:rStyle w:val="Hyperlink"/>
            <w:rFonts w:ascii="Calibri" w:eastAsia="Times New Roman" w:hAnsi="Calibri" w:cs="Calibri"/>
          </w:rPr>
          <w:t>russell.shobrook@plymouth.ac.uk</w:t>
        </w:r>
      </w:hyperlink>
    </w:p>
    <w:sectPr w:rsidR="00093AF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CC8EC" w14:textId="77777777" w:rsidR="00F5316B" w:rsidRDefault="00F5316B" w:rsidP="003757D6">
      <w:pPr>
        <w:spacing w:after="0" w:line="240" w:lineRule="auto"/>
      </w:pPr>
      <w:r>
        <w:separator/>
      </w:r>
    </w:p>
  </w:endnote>
  <w:endnote w:type="continuationSeparator" w:id="0">
    <w:p w14:paraId="50C85442" w14:textId="77777777" w:rsidR="00F5316B" w:rsidRDefault="00F5316B" w:rsidP="0037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A2FB6" w14:textId="77777777" w:rsidR="00596D8F" w:rsidRDefault="00596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DA125" w14:textId="77777777" w:rsidR="00596D8F" w:rsidRDefault="00596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C26FD" w14:textId="77777777" w:rsidR="00596D8F" w:rsidRDefault="00596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56A98" w14:textId="77777777" w:rsidR="00F5316B" w:rsidRDefault="00F5316B" w:rsidP="003757D6">
      <w:pPr>
        <w:spacing w:after="0" w:line="240" w:lineRule="auto"/>
      </w:pPr>
      <w:r>
        <w:separator/>
      </w:r>
    </w:p>
  </w:footnote>
  <w:footnote w:type="continuationSeparator" w:id="0">
    <w:p w14:paraId="0C15C2E5" w14:textId="77777777" w:rsidR="00F5316B" w:rsidRDefault="00F5316B" w:rsidP="00375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A89A1" w14:textId="77777777" w:rsidR="00596D8F" w:rsidRDefault="00596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4778F" w14:textId="07975514" w:rsidR="003757D6" w:rsidRDefault="003757D6">
    <w:pPr>
      <w:pStyle w:val="Header"/>
    </w:pPr>
    <w:r>
      <w:rPr>
        <w:noProof/>
        <w:lang w:eastAsia="en-GB"/>
      </w:rPr>
      <mc:AlternateContent>
        <mc:Choice Requires="wps">
          <w:drawing>
            <wp:inline distT="0" distB="0" distL="0" distR="0" wp14:anchorId="4F91DFC1" wp14:editId="6EB8E16D">
              <wp:extent cx="304800" cy="304800"/>
              <wp:effectExtent l="0" t="0" r="0" b="0"/>
              <wp:docPr id="1" name="Rectangl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4EB8CF" id="Rectangle 1" o:spid="_x0000_s1026" alt="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DAQKMPABAADRAwAADgAAAAAAAAAAAAAAAAAuAgAAZHJzL2Uyb0RvYy54&#10;bWxQSwECLQAUAAYACAAAACEATKDpLNgAAAADAQAADwAAAAAAAAAAAAAAAABKBAAAZHJzL2Rvd25y&#10;ZXYueG1sUEsFBgAAAAAEAAQA8wAAAE8FAAAAAA==&#10;" filled="f" stroked="f">
              <o:lock v:ext="edit" aspectratio="t"/>
              <w10:anchorlock/>
            </v:rect>
          </w:pict>
        </mc:Fallback>
      </mc:AlternateContent>
    </w:r>
    <w:r w:rsidRPr="003757D6">
      <w:t xml:space="preserve"> </w:t>
    </w:r>
    <w:r>
      <w:tab/>
    </w:r>
    <w:r>
      <w:tab/>
    </w:r>
  </w:p>
  <w:p w14:paraId="3DB4488E" w14:textId="77777777" w:rsidR="003757D6" w:rsidRDefault="003757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1A00D" w14:textId="77777777" w:rsidR="00596D8F" w:rsidRDefault="00596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77EF9"/>
    <w:multiLevelType w:val="hybridMultilevel"/>
    <w:tmpl w:val="C3C2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5E5ECE"/>
    <w:multiLevelType w:val="hybridMultilevel"/>
    <w:tmpl w:val="9C18E7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9591FBA"/>
    <w:multiLevelType w:val="multilevel"/>
    <w:tmpl w:val="D80A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32"/>
    <w:rsid w:val="00042628"/>
    <w:rsid w:val="00093ABD"/>
    <w:rsid w:val="00093AF2"/>
    <w:rsid w:val="00114CA6"/>
    <w:rsid w:val="00161A46"/>
    <w:rsid w:val="00166B76"/>
    <w:rsid w:val="00205684"/>
    <w:rsid w:val="00264106"/>
    <w:rsid w:val="00293602"/>
    <w:rsid w:val="002B5B94"/>
    <w:rsid w:val="002C7E6A"/>
    <w:rsid w:val="002D6C1E"/>
    <w:rsid w:val="00354DF8"/>
    <w:rsid w:val="00362E6B"/>
    <w:rsid w:val="003757D6"/>
    <w:rsid w:val="003B084E"/>
    <w:rsid w:val="003F57CB"/>
    <w:rsid w:val="004709AD"/>
    <w:rsid w:val="004D7BCE"/>
    <w:rsid w:val="00503BAE"/>
    <w:rsid w:val="005344A0"/>
    <w:rsid w:val="0057290D"/>
    <w:rsid w:val="00596D8F"/>
    <w:rsid w:val="005C4986"/>
    <w:rsid w:val="005D1CC1"/>
    <w:rsid w:val="005D759C"/>
    <w:rsid w:val="00616EA0"/>
    <w:rsid w:val="00644EEB"/>
    <w:rsid w:val="00675C85"/>
    <w:rsid w:val="006809FE"/>
    <w:rsid w:val="006871BC"/>
    <w:rsid w:val="006D5E7D"/>
    <w:rsid w:val="00722911"/>
    <w:rsid w:val="007240A6"/>
    <w:rsid w:val="007346FD"/>
    <w:rsid w:val="00741675"/>
    <w:rsid w:val="007932C6"/>
    <w:rsid w:val="007B035D"/>
    <w:rsid w:val="007C1CCD"/>
    <w:rsid w:val="007D3DA1"/>
    <w:rsid w:val="00802DC6"/>
    <w:rsid w:val="008452B7"/>
    <w:rsid w:val="008768C8"/>
    <w:rsid w:val="008B045C"/>
    <w:rsid w:val="008D7588"/>
    <w:rsid w:val="00904E37"/>
    <w:rsid w:val="00970B0E"/>
    <w:rsid w:val="00A00327"/>
    <w:rsid w:val="00A16872"/>
    <w:rsid w:val="00A37A3D"/>
    <w:rsid w:val="00AA191A"/>
    <w:rsid w:val="00AA5FF9"/>
    <w:rsid w:val="00AA6A32"/>
    <w:rsid w:val="00AA6D04"/>
    <w:rsid w:val="00B14713"/>
    <w:rsid w:val="00B662EF"/>
    <w:rsid w:val="00BB03F1"/>
    <w:rsid w:val="00BB2CF5"/>
    <w:rsid w:val="00BD4DB3"/>
    <w:rsid w:val="00C43879"/>
    <w:rsid w:val="00C80526"/>
    <w:rsid w:val="00C92249"/>
    <w:rsid w:val="00CD7F79"/>
    <w:rsid w:val="00D02C0A"/>
    <w:rsid w:val="00D10B6A"/>
    <w:rsid w:val="00D22CBA"/>
    <w:rsid w:val="00D8101E"/>
    <w:rsid w:val="00E66FA7"/>
    <w:rsid w:val="00EE1D55"/>
    <w:rsid w:val="00F46847"/>
    <w:rsid w:val="00F5316B"/>
    <w:rsid w:val="00F67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8840"/>
  <w15:chartTrackingRefBased/>
  <w15:docId w15:val="{DA6CEDFC-51B4-46B3-AB7B-657D0DDF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AA6A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757D6"/>
    <w:pPr>
      <w:ind w:left="720"/>
      <w:contextualSpacing/>
    </w:pPr>
  </w:style>
  <w:style w:type="paragraph" w:styleId="Header">
    <w:name w:val="header"/>
    <w:basedOn w:val="Normal"/>
    <w:link w:val="HeaderChar"/>
    <w:uiPriority w:val="99"/>
    <w:unhideWhenUsed/>
    <w:rsid w:val="00375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7D6"/>
  </w:style>
  <w:style w:type="paragraph" w:styleId="Footer">
    <w:name w:val="footer"/>
    <w:basedOn w:val="Normal"/>
    <w:link w:val="FooterChar"/>
    <w:uiPriority w:val="99"/>
    <w:unhideWhenUsed/>
    <w:rsid w:val="00375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7D6"/>
  </w:style>
  <w:style w:type="character" w:styleId="Hyperlink">
    <w:name w:val="Hyperlink"/>
    <w:basedOn w:val="DefaultParagraphFont"/>
    <w:uiPriority w:val="99"/>
    <w:unhideWhenUsed/>
    <w:rsid w:val="00093AF2"/>
    <w:rPr>
      <w:color w:val="0563C1" w:themeColor="hyperlink"/>
      <w:u w:val="single"/>
    </w:rPr>
  </w:style>
  <w:style w:type="paragraph" w:styleId="BalloonText">
    <w:name w:val="Balloon Text"/>
    <w:basedOn w:val="Normal"/>
    <w:link w:val="BalloonTextChar"/>
    <w:uiPriority w:val="99"/>
    <w:semiHidden/>
    <w:unhideWhenUsed/>
    <w:rsid w:val="00534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87123">
      <w:bodyDiv w:val="1"/>
      <w:marLeft w:val="0"/>
      <w:marRight w:val="0"/>
      <w:marTop w:val="0"/>
      <w:marBottom w:val="0"/>
      <w:divBdr>
        <w:top w:val="none" w:sz="0" w:space="0" w:color="auto"/>
        <w:left w:val="none" w:sz="0" w:space="0" w:color="auto"/>
        <w:bottom w:val="none" w:sz="0" w:space="0" w:color="auto"/>
        <w:right w:val="none" w:sz="0" w:space="0" w:color="auto"/>
      </w:divBdr>
      <w:divsChild>
        <w:div w:id="1095320580">
          <w:marLeft w:val="0"/>
          <w:marRight w:val="0"/>
          <w:marTop w:val="0"/>
          <w:marBottom w:val="0"/>
          <w:divBdr>
            <w:top w:val="none" w:sz="0" w:space="0" w:color="auto"/>
            <w:left w:val="none" w:sz="0" w:space="0" w:color="auto"/>
            <w:bottom w:val="none" w:sz="0" w:space="0" w:color="auto"/>
            <w:right w:val="none" w:sz="0" w:space="0" w:color="auto"/>
          </w:divBdr>
        </w:div>
        <w:div w:id="2066250409">
          <w:marLeft w:val="0"/>
          <w:marRight w:val="0"/>
          <w:marTop w:val="0"/>
          <w:marBottom w:val="0"/>
          <w:divBdr>
            <w:top w:val="none" w:sz="0" w:space="0" w:color="auto"/>
            <w:left w:val="none" w:sz="0" w:space="0" w:color="auto"/>
            <w:bottom w:val="none" w:sz="0" w:space="0" w:color="auto"/>
            <w:right w:val="none" w:sz="0" w:space="0" w:color="auto"/>
          </w:divBdr>
        </w:div>
        <w:div w:id="867184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mcgrath@bcu.ac.u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ssell.shobrook@plymouth.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07579-47DC-4280-A0E0-C81B08E3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Pilott</dc:creator>
  <cp:keywords/>
  <dc:description/>
  <cp:lastModifiedBy>James Noble-Rogers</cp:lastModifiedBy>
  <cp:revision>48</cp:revision>
  <dcterms:created xsi:type="dcterms:W3CDTF">2020-03-19T11:54:00Z</dcterms:created>
  <dcterms:modified xsi:type="dcterms:W3CDTF">2020-03-20T07:45:00Z</dcterms:modified>
</cp:coreProperties>
</file>