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3974" w14:textId="77777777" w:rsidR="00230A0E" w:rsidRDefault="00230A0E">
      <w:pPr>
        <w:rPr>
          <w:b/>
          <w:sz w:val="28"/>
          <w:szCs w:val="28"/>
        </w:rPr>
      </w:pPr>
      <w:bookmarkStart w:id="0" w:name="_GoBack"/>
      <w:bookmarkEnd w:id="0"/>
      <w:r>
        <w:rPr>
          <w:b/>
          <w:sz w:val="28"/>
          <w:szCs w:val="28"/>
        </w:rPr>
        <w:t xml:space="preserve">The following pages are the starting point of </w:t>
      </w:r>
      <w:r w:rsidR="00B24FD9">
        <w:rPr>
          <w:b/>
          <w:sz w:val="28"/>
          <w:szCs w:val="28"/>
        </w:rPr>
        <w:t>our Talking Heads approach to speaking with school leaders and governors about why they should (and how they could) provide placements for trainee teachers in these Covid times.</w:t>
      </w:r>
    </w:p>
    <w:p w14:paraId="12740091" w14:textId="77777777" w:rsidR="00B24FD9" w:rsidRDefault="00B24FD9">
      <w:pPr>
        <w:rPr>
          <w:sz w:val="28"/>
          <w:szCs w:val="28"/>
        </w:rPr>
      </w:pPr>
      <w:r w:rsidRPr="00B24FD9">
        <w:rPr>
          <w:sz w:val="28"/>
          <w:szCs w:val="28"/>
        </w:rPr>
        <w:t>Please read and respond with your own short contribution in the form of prose, chart, sketch or letter. We would hope to get this out to schools through our networks by the end of the month, in both written form and possibly by speaking aloud these messages in an open zoom format.</w:t>
      </w:r>
    </w:p>
    <w:p w14:paraId="074683F6" w14:textId="77777777" w:rsidR="00E56AD6" w:rsidRDefault="00E56AD6">
      <w:pPr>
        <w:rPr>
          <w:sz w:val="28"/>
          <w:szCs w:val="28"/>
        </w:rPr>
      </w:pPr>
      <w:r>
        <w:rPr>
          <w:sz w:val="28"/>
          <w:szCs w:val="28"/>
        </w:rPr>
        <w:t>It would also be appreciated if you could add to the third section on risk reduction.</w:t>
      </w:r>
    </w:p>
    <w:p w14:paraId="37411A35" w14:textId="26A33586" w:rsidR="00B24FD9" w:rsidRDefault="00B24FD9">
      <w:pPr>
        <w:rPr>
          <w:sz w:val="28"/>
          <w:szCs w:val="28"/>
        </w:rPr>
      </w:pPr>
      <w:r>
        <w:rPr>
          <w:sz w:val="28"/>
          <w:szCs w:val="28"/>
        </w:rPr>
        <w:t>Please email your responses a</w:t>
      </w:r>
      <w:r w:rsidR="00AB2FD9">
        <w:rPr>
          <w:sz w:val="28"/>
          <w:szCs w:val="28"/>
        </w:rPr>
        <w:t>s well as</w:t>
      </w:r>
      <w:r>
        <w:rPr>
          <w:sz w:val="28"/>
          <w:szCs w:val="28"/>
        </w:rPr>
        <w:t xml:space="preserve"> </w:t>
      </w:r>
      <w:r w:rsidR="00AB2FD9">
        <w:rPr>
          <w:sz w:val="28"/>
          <w:szCs w:val="28"/>
        </w:rPr>
        <w:t>any</w:t>
      </w:r>
      <w:r>
        <w:rPr>
          <w:sz w:val="28"/>
          <w:szCs w:val="28"/>
        </w:rPr>
        <w:t xml:space="preserve"> thoughts </w:t>
      </w:r>
      <w:r w:rsidR="00AB2FD9">
        <w:rPr>
          <w:sz w:val="28"/>
          <w:szCs w:val="28"/>
        </w:rPr>
        <w:t xml:space="preserve">you have </w:t>
      </w:r>
      <w:r>
        <w:rPr>
          <w:sz w:val="28"/>
          <w:szCs w:val="28"/>
        </w:rPr>
        <w:t xml:space="preserve">on effective platforms </w:t>
      </w:r>
      <w:r w:rsidR="00AB2FD9">
        <w:rPr>
          <w:sz w:val="28"/>
          <w:szCs w:val="28"/>
        </w:rPr>
        <w:t>we could use to</w:t>
      </w:r>
      <w:r>
        <w:rPr>
          <w:sz w:val="28"/>
          <w:szCs w:val="28"/>
        </w:rPr>
        <w:t xml:space="preserve"> share the Talking Heads with a wide audience.</w:t>
      </w:r>
    </w:p>
    <w:p w14:paraId="579732AD" w14:textId="77777777" w:rsidR="00B24FD9" w:rsidRDefault="00AE4475">
      <w:pPr>
        <w:rPr>
          <w:sz w:val="28"/>
          <w:szCs w:val="28"/>
        </w:rPr>
      </w:pPr>
      <w:hyperlink r:id="rId6" w:history="1">
        <w:r w:rsidR="00B24FD9" w:rsidRPr="009A33CC">
          <w:rPr>
            <w:rStyle w:val="Hyperlink"/>
            <w:sz w:val="28"/>
            <w:szCs w:val="28"/>
          </w:rPr>
          <w:t>Margaget.Mulholland@ascl.org.uk</w:t>
        </w:r>
      </w:hyperlink>
    </w:p>
    <w:p w14:paraId="5E80055E" w14:textId="77777777" w:rsidR="00B24FD9" w:rsidRDefault="00AE4475">
      <w:pPr>
        <w:rPr>
          <w:sz w:val="28"/>
          <w:szCs w:val="28"/>
        </w:rPr>
      </w:pPr>
      <w:hyperlink r:id="rId7" w:history="1">
        <w:r w:rsidR="00B24FD9" w:rsidRPr="009A33CC">
          <w:rPr>
            <w:rStyle w:val="Hyperlink"/>
            <w:sz w:val="28"/>
            <w:szCs w:val="28"/>
          </w:rPr>
          <w:t>Caroline.Daly@ucl.ac.uk</w:t>
        </w:r>
      </w:hyperlink>
    </w:p>
    <w:p w14:paraId="705ABDEA" w14:textId="77777777" w:rsidR="00B24FD9" w:rsidRDefault="00AE4475">
      <w:pPr>
        <w:rPr>
          <w:sz w:val="28"/>
          <w:szCs w:val="28"/>
        </w:rPr>
      </w:pPr>
      <w:hyperlink r:id="rId8" w:history="1">
        <w:r w:rsidR="00B24FD9" w:rsidRPr="009A33CC">
          <w:rPr>
            <w:rStyle w:val="Hyperlink"/>
            <w:sz w:val="28"/>
            <w:szCs w:val="28"/>
          </w:rPr>
          <w:t>julie.greer@cherbourg.hants.sch.uk</w:t>
        </w:r>
      </w:hyperlink>
    </w:p>
    <w:p w14:paraId="6434A0E2" w14:textId="77777777" w:rsidR="00B24FD9" w:rsidRDefault="00B24FD9">
      <w:pPr>
        <w:rPr>
          <w:sz w:val="28"/>
          <w:szCs w:val="28"/>
        </w:rPr>
      </w:pPr>
      <w:r>
        <w:rPr>
          <w:sz w:val="28"/>
          <w:szCs w:val="28"/>
        </w:rPr>
        <w:t>If you can copy us all in, that will help us to coordinate the responses.</w:t>
      </w:r>
    </w:p>
    <w:p w14:paraId="520CE713" w14:textId="77777777" w:rsidR="00B24FD9" w:rsidRDefault="00B24FD9">
      <w:pPr>
        <w:rPr>
          <w:sz w:val="28"/>
          <w:szCs w:val="28"/>
        </w:rPr>
      </w:pPr>
      <w:r>
        <w:rPr>
          <w:sz w:val="28"/>
          <w:szCs w:val="28"/>
        </w:rPr>
        <w:t>Many thanks</w:t>
      </w:r>
    </w:p>
    <w:p w14:paraId="5409B019" w14:textId="77777777" w:rsidR="00B24FD9" w:rsidRDefault="00B24FD9">
      <w:pPr>
        <w:rPr>
          <w:sz w:val="28"/>
          <w:szCs w:val="28"/>
        </w:rPr>
      </w:pPr>
    </w:p>
    <w:p w14:paraId="12B59403" w14:textId="77777777" w:rsidR="00B24FD9" w:rsidRDefault="00B24FD9">
      <w:pPr>
        <w:rPr>
          <w:sz w:val="28"/>
          <w:szCs w:val="28"/>
        </w:rPr>
      </w:pPr>
    </w:p>
    <w:p w14:paraId="5AFC0444" w14:textId="77777777" w:rsidR="00B24FD9" w:rsidRDefault="00B24FD9">
      <w:pPr>
        <w:rPr>
          <w:sz w:val="28"/>
          <w:szCs w:val="28"/>
        </w:rPr>
      </w:pPr>
    </w:p>
    <w:p w14:paraId="113C81FE" w14:textId="77777777" w:rsidR="00B24FD9" w:rsidRDefault="00B24FD9">
      <w:pPr>
        <w:rPr>
          <w:sz w:val="28"/>
          <w:szCs w:val="28"/>
        </w:rPr>
      </w:pPr>
    </w:p>
    <w:p w14:paraId="5953A638" w14:textId="77777777" w:rsidR="00B24FD9" w:rsidRDefault="00B24FD9">
      <w:pPr>
        <w:rPr>
          <w:sz w:val="28"/>
          <w:szCs w:val="28"/>
        </w:rPr>
      </w:pPr>
    </w:p>
    <w:p w14:paraId="791C8DFA" w14:textId="77777777" w:rsidR="00B24FD9" w:rsidRDefault="00B24FD9">
      <w:pPr>
        <w:rPr>
          <w:sz w:val="28"/>
          <w:szCs w:val="28"/>
        </w:rPr>
      </w:pPr>
    </w:p>
    <w:p w14:paraId="577FB5A4" w14:textId="77777777" w:rsidR="00B24FD9" w:rsidRDefault="00B24FD9">
      <w:pPr>
        <w:rPr>
          <w:sz w:val="28"/>
          <w:szCs w:val="28"/>
        </w:rPr>
      </w:pPr>
    </w:p>
    <w:p w14:paraId="59683E4D" w14:textId="77777777" w:rsidR="00B24FD9" w:rsidRDefault="00B24FD9">
      <w:pPr>
        <w:rPr>
          <w:sz w:val="28"/>
          <w:szCs w:val="28"/>
        </w:rPr>
      </w:pPr>
    </w:p>
    <w:p w14:paraId="0F2AF521" w14:textId="77777777" w:rsidR="00B24FD9" w:rsidRDefault="00B24FD9">
      <w:pPr>
        <w:rPr>
          <w:sz w:val="28"/>
          <w:szCs w:val="28"/>
        </w:rPr>
      </w:pPr>
    </w:p>
    <w:p w14:paraId="7E0AAEB4" w14:textId="77777777" w:rsidR="00B24FD9" w:rsidRDefault="00B24FD9">
      <w:pPr>
        <w:rPr>
          <w:sz w:val="28"/>
          <w:szCs w:val="28"/>
        </w:rPr>
      </w:pPr>
    </w:p>
    <w:p w14:paraId="7ADD26AC" w14:textId="77777777" w:rsidR="00B24FD9" w:rsidRDefault="00B24FD9">
      <w:pPr>
        <w:rPr>
          <w:sz w:val="28"/>
          <w:szCs w:val="28"/>
        </w:rPr>
      </w:pPr>
    </w:p>
    <w:p w14:paraId="48D3D3F7" w14:textId="77777777" w:rsidR="00F9508D" w:rsidRDefault="00F9508D">
      <w:pPr>
        <w:rPr>
          <w:sz w:val="28"/>
          <w:szCs w:val="28"/>
        </w:rPr>
      </w:pPr>
    </w:p>
    <w:p w14:paraId="11219B49" w14:textId="77777777" w:rsidR="00B24FD9" w:rsidRPr="00B24FD9" w:rsidRDefault="00B24FD9">
      <w:pPr>
        <w:rPr>
          <w:sz w:val="28"/>
          <w:szCs w:val="28"/>
        </w:rPr>
      </w:pPr>
    </w:p>
    <w:p w14:paraId="514EEA4E" w14:textId="77777777" w:rsidR="00FD7728" w:rsidRPr="00230A0E" w:rsidRDefault="00FD7728">
      <w:pPr>
        <w:rPr>
          <w:b/>
          <w:sz w:val="28"/>
          <w:szCs w:val="28"/>
        </w:rPr>
      </w:pPr>
      <w:r w:rsidRPr="00230A0E">
        <w:rPr>
          <w:b/>
          <w:sz w:val="28"/>
          <w:szCs w:val="28"/>
        </w:rPr>
        <w:lastRenderedPageBreak/>
        <w:t>An appeal</w:t>
      </w:r>
    </w:p>
    <w:p w14:paraId="5B7F814F" w14:textId="77777777" w:rsidR="00E23697" w:rsidRPr="00230A0E" w:rsidRDefault="00E23697">
      <w:pPr>
        <w:rPr>
          <w:b/>
          <w:sz w:val="24"/>
          <w:szCs w:val="24"/>
        </w:rPr>
      </w:pPr>
      <w:r w:rsidRPr="00230A0E">
        <w:rPr>
          <w:b/>
          <w:sz w:val="24"/>
          <w:szCs w:val="24"/>
        </w:rPr>
        <w:t>Why schools should continue to provide placements for trainee teachers.</w:t>
      </w:r>
    </w:p>
    <w:p w14:paraId="45909EC6" w14:textId="77777777" w:rsidR="00F4123E" w:rsidRPr="00230A0E" w:rsidRDefault="00E23697">
      <w:pPr>
        <w:rPr>
          <w:sz w:val="24"/>
          <w:szCs w:val="24"/>
        </w:rPr>
      </w:pPr>
      <w:r w:rsidRPr="00230A0E">
        <w:rPr>
          <w:sz w:val="24"/>
          <w:szCs w:val="24"/>
        </w:rPr>
        <w:t>Do you remember your teaching practices? I’d be surprised if you don’t. They are a vital experience that help</w:t>
      </w:r>
      <w:r w:rsidR="00917079" w:rsidRPr="00230A0E">
        <w:rPr>
          <w:sz w:val="24"/>
          <w:szCs w:val="24"/>
        </w:rPr>
        <w:t>ed</w:t>
      </w:r>
      <w:r w:rsidRPr="00230A0E">
        <w:rPr>
          <w:sz w:val="24"/>
          <w:szCs w:val="24"/>
        </w:rPr>
        <w:t xml:space="preserve"> shape our teacher identity; our skills and characteristics</w:t>
      </w:r>
      <w:r w:rsidR="00DA610E" w:rsidRPr="00230A0E">
        <w:rPr>
          <w:sz w:val="24"/>
          <w:szCs w:val="24"/>
        </w:rPr>
        <w:t>. It’s l</w:t>
      </w:r>
      <w:r w:rsidRPr="00230A0E">
        <w:rPr>
          <w:sz w:val="24"/>
          <w:szCs w:val="24"/>
        </w:rPr>
        <w:t>ike learning to ride a bike, drive a car,</w:t>
      </w:r>
      <w:r w:rsidR="00DA610E" w:rsidRPr="00230A0E">
        <w:rPr>
          <w:sz w:val="24"/>
          <w:szCs w:val="24"/>
        </w:rPr>
        <w:t xml:space="preserve"> or play an instrument: T</w:t>
      </w:r>
      <w:r w:rsidRPr="00230A0E">
        <w:rPr>
          <w:sz w:val="24"/>
          <w:szCs w:val="24"/>
        </w:rPr>
        <w:t>hese are all things you could experience in a virtual world, but you can only learn competence, flair and a</w:t>
      </w:r>
      <w:r w:rsidR="00917079" w:rsidRPr="00230A0E">
        <w:rPr>
          <w:sz w:val="24"/>
          <w:szCs w:val="24"/>
        </w:rPr>
        <w:t>n emotional engagement with these</w:t>
      </w:r>
      <w:r w:rsidRPr="00230A0E">
        <w:rPr>
          <w:sz w:val="24"/>
          <w:szCs w:val="24"/>
        </w:rPr>
        <w:t xml:space="preserve"> </w:t>
      </w:r>
      <w:r w:rsidR="00DA610E" w:rsidRPr="00230A0E">
        <w:rPr>
          <w:sz w:val="24"/>
          <w:szCs w:val="24"/>
        </w:rPr>
        <w:t xml:space="preserve">skills, </w:t>
      </w:r>
      <w:r w:rsidR="00917079" w:rsidRPr="00230A0E">
        <w:rPr>
          <w:sz w:val="24"/>
          <w:szCs w:val="24"/>
        </w:rPr>
        <w:t>if they are</w:t>
      </w:r>
      <w:r w:rsidR="00DA610E" w:rsidRPr="00230A0E">
        <w:rPr>
          <w:sz w:val="24"/>
          <w:szCs w:val="24"/>
        </w:rPr>
        <w:t xml:space="preserve"> practice</w:t>
      </w:r>
      <w:r w:rsidR="00917079" w:rsidRPr="00230A0E">
        <w:rPr>
          <w:sz w:val="24"/>
          <w:szCs w:val="24"/>
        </w:rPr>
        <w:t>d</w:t>
      </w:r>
      <w:r w:rsidR="00DA610E" w:rsidRPr="00230A0E">
        <w:rPr>
          <w:sz w:val="24"/>
          <w:szCs w:val="24"/>
        </w:rPr>
        <w:t xml:space="preserve"> in person. </w:t>
      </w:r>
      <w:r w:rsidR="00F4123E" w:rsidRPr="00230A0E">
        <w:rPr>
          <w:sz w:val="24"/>
          <w:szCs w:val="24"/>
        </w:rPr>
        <w:t>It is on a trainee placement that</w:t>
      </w:r>
      <w:r w:rsidR="00DA610E" w:rsidRPr="00230A0E">
        <w:rPr>
          <w:sz w:val="24"/>
          <w:szCs w:val="24"/>
        </w:rPr>
        <w:t xml:space="preserve"> increasing proficiency will develop motivation, resilience and determination</w:t>
      </w:r>
      <w:r w:rsidR="00F4123E" w:rsidRPr="00230A0E">
        <w:rPr>
          <w:sz w:val="24"/>
          <w:szCs w:val="24"/>
        </w:rPr>
        <w:t>, without which a new teacher would</w:t>
      </w:r>
      <w:r w:rsidR="00DA610E" w:rsidRPr="00230A0E">
        <w:rPr>
          <w:sz w:val="24"/>
          <w:szCs w:val="24"/>
        </w:rPr>
        <w:t xml:space="preserve"> find it hard to keep going. </w:t>
      </w:r>
    </w:p>
    <w:p w14:paraId="5827DB0F" w14:textId="77777777" w:rsidR="00E23697" w:rsidRPr="00230A0E" w:rsidRDefault="00DA610E">
      <w:pPr>
        <w:rPr>
          <w:sz w:val="24"/>
          <w:szCs w:val="24"/>
        </w:rPr>
      </w:pPr>
      <w:r w:rsidRPr="00230A0E">
        <w:rPr>
          <w:sz w:val="24"/>
          <w:szCs w:val="24"/>
        </w:rPr>
        <w:t xml:space="preserve">We are already fearful that so many of our recently qualified teachers will be going into their first teaching post with so little knowledge drawn from real classrooms and </w:t>
      </w:r>
      <w:r w:rsidR="00DC20E9" w:rsidRPr="00230A0E">
        <w:rPr>
          <w:sz w:val="24"/>
          <w:szCs w:val="24"/>
        </w:rPr>
        <w:t>little familiarity with the cul</w:t>
      </w:r>
      <w:r w:rsidR="00904346" w:rsidRPr="00230A0E">
        <w:rPr>
          <w:sz w:val="24"/>
          <w:szCs w:val="24"/>
        </w:rPr>
        <w:t xml:space="preserve">ture of schools. This Autumn term </w:t>
      </w:r>
      <w:r w:rsidR="00F4123E" w:rsidRPr="00230A0E">
        <w:rPr>
          <w:sz w:val="24"/>
          <w:szCs w:val="24"/>
        </w:rPr>
        <w:t>w</w:t>
      </w:r>
      <w:r w:rsidR="00DC20E9" w:rsidRPr="00230A0E">
        <w:rPr>
          <w:sz w:val="24"/>
          <w:szCs w:val="24"/>
        </w:rPr>
        <w:t>e will need the</w:t>
      </w:r>
      <w:r w:rsidR="00F4123E" w:rsidRPr="00230A0E">
        <w:rPr>
          <w:sz w:val="24"/>
          <w:szCs w:val="24"/>
        </w:rPr>
        <w:t xml:space="preserve"> increased</w:t>
      </w:r>
      <w:r w:rsidR="00DC20E9" w:rsidRPr="00230A0E">
        <w:rPr>
          <w:sz w:val="24"/>
          <w:szCs w:val="24"/>
        </w:rPr>
        <w:t xml:space="preserve"> involvement from a range of staff to ensure our NQTs have access to an upgraded package of mentoring, support, team teaching, coaching, observations and professional conversations with colleagues, to develop the skills that have not yet been honed. </w:t>
      </w:r>
    </w:p>
    <w:p w14:paraId="0C0BB315" w14:textId="77777777" w:rsidR="00DA610E" w:rsidRPr="00230A0E" w:rsidRDefault="00DA610E">
      <w:pPr>
        <w:rPr>
          <w:sz w:val="24"/>
          <w:szCs w:val="24"/>
        </w:rPr>
      </w:pPr>
      <w:r w:rsidRPr="00230A0E">
        <w:rPr>
          <w:sz w:val="24"/>
          <w:szCs w:val="24"/>
        </w:rPr>
        <w:t xml:space="preserve">In response to Covid-19 the DfE has reduced the number of teaching days required to obtain qualified teacher status. Whilst that was welcomed by many, we need to be sure that </w:t>
      </w:r>
      <w:r w:rsidR="00DC20E9" w:rsidRPr="00230A0E">
        <w:rPr>
          <w:sz w:val="24"/>
          <w:szCs w:val="24"/>
        </w:rPr>
        <w:t>this is not a short cut to slashing the requirement for teachers to learn to teach</w:t>
      </w:r>
      <w:r w:rsidR="00B67499" w:rsidRPr="00230A0E">
        <w:rPr>
          <w:sz w:val="24"/>
          <w:szCs w:val="24"/>
        </w:rPr>
        <w:t xml:space="preserve"> in the classroom</w:t>
      </w:r>
      <w:r w:rsidR="00DC20E9" w:rsidRPr="00230A0E">
        <w:rPr>
          <w:sz w:val="24"/>
          <w:szCs w:val="24"/>
        </w:rPr>
        <w:t>. Schools need their N</w:t>
      </w:r>
      <w:r w:rsidR="00F4123E" w:rsidRPr="00230A0E">
        <w:rPr>
          <w:sz w:val="24"/>
          <w:szCs w:val="24"/>
        </w:rPr>
        <w:t>QTs to arrive with a standard and</w:t>
      </w:r>
      <w:r w:rsidR="00C40527" w:rsidRPr="00230A0E">
        <w:rPr>
          <w:sz w:val="24"/>
          <w:szCs w:val="24"/>
        </w:rPr>
        <w:t xml:space="preserve"> competency they can rely on;</w:t>
      </w:r>
      <w:r w:rsidR="00DC20E9" w:rsidRPr="00230A0E">
        <w:rPr>
          <w:sz w:val="24"/>
          <w:szCs w:val="24"/>
        </w:rPr>
        <w:t xml:space="preserve"> so it follows that schools have a responsibility to provide the training that they need their teachers to acquire.</w:t>
      </w:r>
    </w:p>
    <w:p w14:paraId="37E1DDEF" w14:textId="77777777" w:rsidR="00F4123E" w:rsidRPr="00230A0E" w:rsidRDefault="00DC20E9">
      <w:pPr>
        <w:rPr>
          <w:sz w:val="24"/>
          <w:szCs w:val="24"/>
        </w:rPr>
      </w:pPr>
      <w:r w:rsidRPr="00230A0E">
        <w:rPr>
          <w:sz w:val="24"/>
          <w:szCs w:val="24"/>
        </w:rPr>
        <w:t xml:space="preserve">A trainee should be </w:t>
      </w:r>
      <w:r w:rsidR="0051375A" w:rsidRPr="00230A0E">
        <w:rPr>
          <w:sz w:val="24"/>
          <w:szCs w:val="24"/>
        </w:rPr>
        <w:t>welcomed into school</w:t>
      </w:r>
      <w:r w:rsidRPr="00230A0E">
        <w:rPr>
          <w:sz w:val="24"/>
          <w:szCs w:val="24"/>
        </w:rPr>
        <w:t xml:space="preserve">, </w:t>
      </w:r>
      <w:r w:rsidR="0051375A" w:rsidRPr="00230A0E">
        <w:rPr>
          <w:sz w:val="24"/>
          <w:szCs w:val="24"/>
        </w:rPr>
        <w:t>as an integral part of our learning community, not as a</w:t>
      </w:r>
      <w:r w:rsidRPr="00230A0E">
        <w:rPr>
          <w:sz w:val="24"/>
          <w:szCs w:val="24"/>
        </w:rPr>
        <w:t xml:space="preserve"> stranger or a visitor. Whilst it would be impo</w:t>
      </w:r>
      <w:r w:rsidR="00F4123E" w:rsidRPr="00230A0E">
        <w:rPr>
          <w:sz w:val="24"/>
          <w:szCs w:val="24"/>
        </w:rPr>
        <w:t>rtant to assess the risk of some</w:t>
      </w:r>
      <w:r w:rsidRPr="00230A0E">
        <w:rPr>
          <w:sz w:val="24"/>
          <w:szCs w:val="24"/>
        </w:rPr>
        <w:t xml:space="preserve">one entering into our schools at </w:t>
      </w:r>
      <w:r w:rsidR="00F4123E" w:rsidRPr="00230A0E">
        <w:rPr>
          <w:sz w:val="24"/>
          <w:szCs w:val="24"/>
        </w:rPr>
        <w:t>any time, in these times of Corona</w:t>
      </w:r>
      <w:r w:rsidRPr="00230A0E">
        <w:rPr>
          <w:sz w:val="24"/>
          <w:szCs w:val="24"/>
        </w:rPr>
        <w:t xml:space="preserve">virus we need to undergo the process of weighing the risk </w:t>
      </w:r>
      <w:r w:rsidR="0051375A" w:rsidRPr="00230A0E">
        <w:rPr>
          <w:sz w:val="24"/>
          <w:szCs w:val="24"/>
        </w:rPr>
        <w:t>against the likelihood of an event and balance those risks with the gains.</w:t>
      </w:r>
    </w:p>
    <w:p w14:paraId="6F0BE13A" w14:textId="77777777" w:rsidR="00DC20E9" w:rsidRPr="00230A0E" w:rsidRDefault="00F4123E">
      <w:pPr>
        <w:rPr>
          <w:sz w:val="24"/>
          <w:szCs w:val="24"/>
        </w:rPr>
      </w:pPr>
      <w:r w:rsidRPr="00230A0E">
        <w:rPr>
          <w:sz w:val="24"/>
          <w:szCs w:val="24"/>
        </w:rPr>
        <w:t>The risk of a well person bringing Covid-19 into the school environment is relatively low and no greater than the risk that any school staff present each day. A trainee would be responsible for maintaining the measures that a school has put in place, to not do so would be managed in the same way as any other breach of p</w:t>
      </w:r>
      <w:r w:rsidR="00917079" w:rsidRPr="00230A0E">
        <w:rPr>
          <w:sz w:val="24"/>
          <w:szCs w:val="24"/>
        </w:rPr>
        <w:t>rofessional standards. These procedures are already</w:t>
      </w:r>
      <w:r w:rsidRPr="00230A0E">
        <w:rPr>
          <w:sz w:val="24"/>
          <w:szCs w:val="24"/>
        </w:rPr>
        <w:t xml:space="preserve"> in place </w:t>
      </w:r>
      <w:r w:rsidR="00917079" w:rsidRPr="00230A0E">
        <w:rPr>
          <w:sz w:val="24"/>
          <w:szCs w:val="24"/>
        </w:rPr>
        <w:t>in schools</w:t>
      </w:r>
      <w:r w:rsidRPr="00230A0E">
        <w:rPr>
          <w:sz w:val="24"/>
          <w:szCs w:val="24"/>
        </w:rPr>
        <w:t xml:space="preserve">. The </w:t>
      </w:r>
      <w:r w:rsidR="00917079" w:rsidRPr="00230A0E">
        <w:rPr>
          <w:sz w:val="24"/>
          <w:szCs w:val="24"/>
        </w:rPr>
        <w:t xml:space="preserve">DfE </w:t>
      </w:r>
      <w:r w:rsidRPr="00230A0E">
        <w:rPr>
          <w:sz w:val="24"/>
          <w:szCs w:val="24"/>
        </w:rPr>
        <w:t>guidance states that</w:t>
      </w:r>
      <w:r w:rsidR="00917079" w:rsidRPr="00230A0E">
        <w:rPr>
          <w:sz w:val="24"/>
          <w:szCs w:val="24"/>
        </w:rPr>
        <w:t>,</w:t>
      </w:r>
      <w:r w:rsidRPr="00230A0E">
        <w:rPr>
          <w:sz w:val="24"/>
          <w:szCs w:val="24"/>
        </w:rPr>
        <w:t xml:space="preserve"> within the current pandemic, we</w:t>
      </w:r>
      <w:r w:rsidR="008F28F9" w:rsidRPr="00230A0E">
        <w:rPr>
          <w:sz w:val="24"/>
          <w:szCs w:val="24"/>
        </w:rPr>
        <w:t xml:space="preserve"> maintain ‘bubbles’ of children and staff where we can. It would be reasonable if the teaching placement is within a second or third wave, to assign the trainee to a ‘bubble’. If the local risk of contagion is low, then schools may be able to relax some of their regulations around staff moving between bubbles</w:t>
      </w:r>
      <w:r w:rsidR="00C40527" w:rsidRPr="00230A0E">
        <w:rPr>
          <w:sz w:val="24"/>
          <w:szCs w:val="24"/>
        </w:rPr>
        <w:t>,</w:t>
      </w:r>
      <w:r w:rsidR="008F28F9" w:rsidRPr="00230A0E">
        <w:rPr>
          <w:sz w:val="24"/>
          <w:szCs w:val="24"/>
        </w:rPr>
        <w:t xml:space="preserve"> to enable a trainee to observe others and have contact with mentor and colleagues, maintaining an appropriate distance with ease. </w:t>
      </w:r>
    </w:p>
    <w:p w14:paraId="35CC723F" w14:textId="77777777" w:rsidR="008F28F9" w:rsidRPr="00230A0E" w:rsidRDefault="008F28F9">
      <w:pPr>
        <w:rPr>
          <w:sz w:val="24"/>
          <w:szCs w:val="24"/>
        </w:rPr>
      </w:pPr>
      <w:r w:rsidRPr="00230A0E">
        <w:rPr>
          <w:sz w:val="24"/>
          <w:szCs w:val="24"/>
        </w:rPr>
        <w:t xml:space="preserve">In making the decision of whether to offer placements next year, it appears that the gains have been squashed by the perception of risk, driven by an assessment of fear. The advantages of having a trainee are numerous for a school community and for the trainee. </w:t>
      </w:r>
      <w:r w:rsidR="00917079" w:rsidRPr="00230A0E">
        <w:rPr>
          <w:sz w:val="24"/>
          <w:szCs w:val="24"/>
        </w:rPr>
        <w:t>To name a few:</w:t>
      </w:r>
    </w:p>
    <w:p w14:paraId="7F479E3E" w14:textId="77777777" w:rsidR="008F28F9" w:rsidRPr="00230A0E" w:rsidRDefault="008F28F9" w:rsidP="00917079">
      <w:pPr>
        <w:pStyle w:val="ListParagraph"/>
        <w:numPr>
          <w:ilvl w:val="0"/>
          <w:numId w:val="1"/>
        </w:numPr>
        <w:rPr>
          <w:sz w:val="24"/>
          <w:szCs w:val="24"/>
        </w:rPr>
      </w:pPr>
      <w:r w:rsidRPr="00230A0E">
        <w:rPr>
          <w:sz w:val="24"/>
          <w:szCs w:val="24"/>
        </w:rPr>
        <w:lastRenderedPageBreak/>
        <w:t>Demonstrating tha</w:t>
      </w:r>
      <w:r w:rsidR="00C40527" w:rsidRPr="00230A0E">
        <w:rPr>
          <w:sz w:val="24"/>
          <w:szCs w:val="24"/>
        </w:rPr>
        <w:t>t we are all here to learn. Recognising that a trainee is learning to teach can be</w:t>
      </w:r>
      <w:r w:rsidRPr="00230A0E">
        <w:rPr>
          <w:sz w:val="24"/>
          <w:szCs w:val="24"/>
        </w:rPr>
        <w:t xml:space="preserve"> so powerful for pupils and supports their own ambitions and understanding of a life-long commitment to learning.</w:t>
      </w:r>
    </w:p>
    <w:p w14:paraId="798EBC09" w14:textId="77777777" w:rsidR="008F28F9" w:rsidRPr="00230A0E" w:rsidRDefault="008F28F9" w:rsidP="00917079">
      <w:pPr>
        <w:pStyle w:val="ListParagraph"/>
        <w:numPr>
          <w:ilvl w:val="0"/>
          <w:numId w:val="1"/>
        </w:numPr>
        <w:rPr>
          <w:sz w:val="24"/>
          <w:szCs w:val="24"/>
        </w:rPr>
      </w:pPr>
      <w:r w:rsidRPr="00230A0E">
        <w:rPr>
          <w:sz w:val="24"/>
          <w:szCs w:val="24"/>
        </w:rPr>
        <w:t>Maintaining important links with Higher Education and educational research</w:t>
      </w:r>
      <w:r w:rsidR="00C40527" w:rsidRPr="00230A0E">
        <w:rPr>
          <w:sz w:val="24"/>
          <w:szCs w:val="24"/>
        </w:rPr>
        <w:t>,</w:t>
      </w:r>
      <w:r w:rsidRPr="00230A0E">
        <w:rPr>
          <w:sz w:val="24"/>
          <w:szCs w:val="24"/>
        </w:rPr>
        <w:t xml:space="preserve"> which informs developments in pedagogy</w:t>
      </w:r>
      <w:r w:rsidR="007663BE" w:rsidRPr="00230A0E">
        <w:rPr>
          <w:sz w:val="24"/>
          <w:szCs w:val="24"/>
        </w:rPr>
        <w:t xml:space="preserve"> and our metacognition.</w:t>
      </w:r>
    </w:p>
    <w:p w14:paraId="73D0ADDC" w14:textId="77777777" w:rsidR="007663BE" w:rsidRPr="00230A0E" w:rsidRDefault="007663BE" w:rsidP="00917079">
      <w:pPr>
        <w:pStyle w:val="ListParagraph"/>
        <w:numPr>
          <w:ilvl w:val="0"/>
          <w:numId w:val="1"/>
        </w:numPr>
        <w:rPr>
          <w:sz w:val="24"/>
          <w:szCs w:val="24"/>
        </w:rPr>
      </w:pPr>
      <w:r w:rsidRPr="00230A0E">
        <w:rPr>
          <w:sz w:val="24"/>
          <w:szCs w:val="24"/>
        </w:rPr>
        <w:t>Reinforcing our own practice. Let us not forget Piaget and his understanding that we assimilate new knowledge and then accommodate it by applying our skills in different contexts. We usually choose teacher mentors because we recognise their own strengths in the classroom, but mentoring others can really develop the mentor’s thinking about teaching and learning and further embed their own good practice, which can then be shared with more colleagues.</w:t>
      </w:r>
    </w:p>
    <w:p w14:paraId="27AAD639" w14:textId="77777777" w:rsidR="007663BE" w:rsidRPr="00230A0E" w:rsidRDefault="001D48CE" w:rsidP="00917079">
      <w:pPr>
        <w:pStyle w:val="ListParagraph"/>
        <w:numPr>
          <w:ilvl w:val="0"/>
          <w:numId w:val="1"/>
        </w:numPr>
        <w:rPr>
          <w:sz w:val="24"/>
          <w:szCs w:val="24"/>
        </w:rPr>
      </w:pPr>
      <w:r w:rsidRPr="00230A0E">
        <w:rPr>
          <w:sz w:val="24"/>
          <w:szCs w:val="24"/>
        </w:rPr>
        <w:t xml:space="preserve">Enabling flexible teaching. </w:t>
      </w:r>
      <w:r w:rsidR="007663BE" w:rsidRPr="00230A0E">
        <w:rPr>
          <w:sz w:val="24"/>
          <w:szCs w:val="24"/>
        </w:rPr>
        <w:t xml:space="preserve"> A trainee teacher is able to develop their interest in a subject area, such as phonics or fractions, by taking a small group over a period of time, which can make a real difference to that group and bene</w:t>
      </w:r>
      <w:r w:rsidRPr="00230A0E">
        <w:rPr>
          <w:sz w:val="24"/>
          <w:szCs w:val="24"/>
        </w:rPr>
        <w:t>fit the rest of the class too. Done well, t</w:t>
      </w:r>
      <w:r w:rsidR="007663BE" w:rsidRPr="00230A0E">
        <w:rPr>
          <w:sz w:val="24"/>
          <w:szCs w:val="24"/>
        </w:rPr>
        <w:t>eaching alongside the teacher</w:t>
      </w:r>
      <w:r w:rsidRPr="00230A0E">
        <w:rPr>
          <w:sz w:val="24"/>
          <w:szCs w:val="24"/>
        </w:rPr>
        <w:t xml:space="preserve"> practitioner can double the teacher input for a class and enhance the learning, providing pre learning to groups or individuals, reinforcing a teaching point in the lesson, or supporting pupils to review and apply their learning at the close of a lesson.</w:t>
      </w:r>
    </w:p>
    <w:p w14:paraId="5FE90193" w14:textId="77777777" w:rsidR="001D48CE" w:rsidRPr="00230A0E" w:rsidRDefault="001D48CE" w:rsidP="00917079">
      <w:pPr>
        <w:pStyle w:val="ListParagraph"/>
        <w:numPr>
          <w:ilvl w:val="0"/>
          <w:numId w:val="1"/>
        </w:numPr>
        <w:rPr>
          <w:sz w:val="24"/>
          <w:szCs w:val="24"/>
        </w:rPr>
      </w:pPr>
      <w:r w:rsidRPr="00230A0E">
        <w:rPr>
          <w:sz w:val="24"/>
          <w:szCs w:val="24"/>
        </w:rPr>
        <w:t>A school should be able to provide a good enough experience for a trainee, so that school staff miss that trainee when they have gone. There will always be trainees who need more support and who take longer to develop their teacher presence, but an inclusive school will have a good infrastructure to support the mentor to support the trainee, using the experience to problem solve and resolve. Important skills for the senior management role to which good teacher mentors can aspire.</w:t>
      </w:r>
    </w:p>
    <w:p w14:paraId="3BD008E8" w14:textId="297D5933" w:rsidR="00B24FD9" w:rsidRPr="00F9508D" w:rsidRDefault="00917079" w:rsidP="00F9508D">
      <w:pPr>
        <w:ind w:left="360"/>
        <w:rPr>
          <w:sz w:val="24"/>
          <w:szCs w:val="24"/>
        </w:rPr>
      </w:pPr>
      <w:r w:rsidRPr="00230A0E">
        <w:rPr>
          <w:sz w:val="24"/>
          <w:szCs w:val="24"/>
        </w:rPr>
        <w:t>Sharing the practice and culture of our schools, of which we are right to be proud</w:t>
      </w:r>
      <w:r w:rsidR="00C40527" w:rsidRPr="00230A0E">
        <w:rPr>
          <w:sz w:val="24"/>
          <w:szCs w:val="24"/>
        </w:rPr>
        <w:t>,</w:t>
      </w:r>
      <w:r w:rsidRPr="00230A0E">
        <w:rPr>
          <w:sz w:val="24"/>
          <w:szCs w:val="24"/>
        </w:rPr>
        <w:t xml:space="preserve"> is important for the future of education and the pr</w:t>
      </w:r>
      <w:r w:rsidR="00B67499" w:rsidRPr="00230A0E">
        <w:rPr>
          <w:sz w:val="24"/>
          <w:szCs w:val="24"/>
        </w:rPr>
        <w:t>ofessional quality of our</w:t>
      </w:r>
      <w:r w:rsidRPr="00230A0E">
        <w:rPr>
          <w:sz w:val="24"/>
          <w:szCs w:val="24"/>
        </w:rPr>
        <w:t xml:space="preserve"> teachers. Why would we not want to share what </w:t>
      </w:r>
      <w:r w:rsidR="00B67499" w:rsidRPr="00230A0E">
        <w:rPr>
          <w:sz w:val="24"/>
          <w:szCs w:val="24"/>
        </w:rPr>
        <w:t>we do with our colleagues who will teach the next generation</w:t>
      </w:r>
      <w:r w:rsidRPr="00230A0E">
        <w:rPr>
          <w:sz w:val="24"/>
          <w:szCs w:val="24"/>
        </w:rPr>
        <w:t>?</w:t>
      </w:r>
    </w:p>
    <w:p w14:paraId="36F26F1E" w14:textId="77777777" w:rsidR="00FD7728" w:rsidRPr="00FD7728" w:rsidRDefault="00B24FD9" w:rsidP="00FD7728">
      <w:pPr>
        <w:ind w:left="360"/>
        <w:rPr>
          <w:b/>
          <w:sz w:val="28"/>
          <w:szCs w:val="28"/>
        </w:rPr>
      </w:pPr>
      <w:r>
        <w:rPr>
          <w:b/>
          <w:sz w:val="28"/>
          <w:szCs w:val="28"/>
        </w:rPr>
        <w:t>One</w:t>
      </w:r>
      <w:r w:rsidR="00FD7728" w:rsidRPr="00FD7728">
        <w:rPr>
          <w:b/>
          <w:sz w:val="28"/>
          <w:szCs w:val="28"/>
        </w:rPr>
        <w:t xml:space="preserve"> solution</w:t>
      </w:r>
    </w:p>
    <w:p w14:paraId="0D9DACA4" w14:textId="77777777" w:rsidR="00FD7728" w:rsidRPr="00FD7728" w:rsidRDefault="00FD7728" w:rsidP="00FD7728">
      <w:pPr>
        <w:ind w:left="360"/>
        <w:rPr>
          <w:b/>
          <w:sz w:val="24"/>
          <w:szCs w:val="24"/>
        </w:rPr>
      </w:pPr>
      <w:r w:rsidRPr="00FD7728">
        <w:rPr>
          <w:b/>
          <w:sz w:val="24"/>
          <w:szCs w:val="24"/>
        </w:rPr>
        <w:t>More trainees, better experiences for pupils and teachers…</w:t>
      </w:r>
    </w:p>
    <w:p w14:paraId="74F4C1C7" w14:textId="77777777" w:rsidR="00FD7728" w:rsidRPr="00FD7728" w:rsidRDefault="00FD7728" w:rsidP="00FD7728">
      <w:pPr>
        <w:ind w:left="360"/>
        <w:rPr>
          <w:sz w:val="24"/>
          <w:szCs w:val="24"/>
        </w:rPr>
      </w:pPr>
      <w:r w:rsidRPr="00FD7728">
        <w:rPr>
          <w:sz w:val="24"/>
          <w:szCs w:val="24"/>
        </w:rPr>
        <w:t xml:space="preserve">Pre and post Covid-19 the argument for saturating schools with trainee teachers is compelling. A new normal for ITT where we are encouraging schools to host additional placements. </w:t>
      </w:r>
    </w:p>
    <w:p w14:paraId="4CFD2B9E" w14:textId="7F4F8A66" w:rsidR="00230A0E" w:rsidRPr="00FD7728" w:rsidRDefault="00FD7728" w:rsidP="00F9508D">
      <w:pPr>
        <w:ind w:left="360"/>
        <w:rPr>
          <w:sz w:val="24"/>
          <w:szCs w:val="24"/>
        </w:rPr>
      </w:pPr>
      <w:r w:rsidRPr="00FD7728">
        <w:rPr>
          <w:sz w:val="24"/>
          <w:szCs w:val="24"/>
        </w:rPr>
        <w:t xml:space="preserve">To benefit from a model of professional learning that will directly benefit pupils who have experienced learning loss. </w:t>
      </w:r>
    </w:p>
    <w:p w14:paraId="277F19A7" w14:textId="77777777" w:rsidR="00FD7728" w:rsidRPr="00230A0E" w:rsidRDefault="00FD7728" w:rsidP="00FD7728">
      <w:pPr>
        <w:ind w:left="360"/>
        <w:rPr>
          <w:b/>
          <w:sz w:val="24"/>
          <w:szCs w:val="24"/>
        </w:rPr>
      </w:pPr>
      <w:r w:rsidRPr="00230A0E">
        <w:rPr>
          <w:b/>
          <w:sz w:val="24"/>
          <w:szCs w:val="24"/>
        </w:rPr>
        <w:t>How can schools do this?</w:t>
      </w:r>
    </w:p>
    <w:p w14:paraId="5207D98F" w14:textId="77777777" w:rsidR="00FD7728" w:rsidRPr="00FD7728" w:rsidRDefault="00FD7728" w:rsidP="00FD7728">
      <w:pPr>
        <w:ind w:left="360"/>
        <w:rPr>
          <w:sz w:val="24"/>
          <w:szCs w:val="24"/>
          <w:u w:val="single"/>
        </w:rPr>
      </w:pPr>
      <w:r w:rsidRPr="00FD7728">
        <w:rPr>
          <w:sz w:val="24"/>
          <w:szCs w:val="24"/>
          <w:u w:val="single"/>
        </w:rPr>
        <w:t>Take paired or multiple placements in each department</w:t>
      </w:r>
    </w:p>
    <w:p w14:paraId="12321E24" w14:textId="77777777" w:rsidR="00FD7728" w:rsidRPr="00FD7728" w:rsidRDefault="00FD7728" w:rsidP="00FD7728">
      <w:pPr>
        <w:ind w:left="360"/>
        <w:rPr>
          <w:sz w:val="24"/>
          <w:szCs w:val="24"/>
        </w:rPr>
      </w:pPr>
      <w:r w:rsidRPr="00FD7728">
        <w:rPr>
          <w:sz w:val="24"/>
          <w:szCs w:val="24"/>
        </w:rPr>
        <w:t xml:space="preserve">Once you have experienced paired placements as a Head of Department or as a mentor you understand how rather than adding to mentoring responsibilities, a pair placement reduces the burden on mentors. </w:t>
      </w:r>
    </w:p>
    <w:p w14:paraId="27BB00BB" w14:textId="77777777" w:rsidR="00FD7728" w:rsidRPr="00FD7728" w:rsidRDefault="00FD7728" w:rsidP="00230A0E">
      <w:pPr>
        <w:ind w:left="360"/>
        <w:rPr>
          <w:sz w:val="24"/>
          <w:szCs w:val="24"/>
        </w:rPr>
      </w:pPr>
      <w:r w:rsidRPr="00FD7728">
        <w:rPr>
          <w:sz w:val="24"/>
          <w:szCs w:val="24"/>
        </w:rPr>
        <w:t>Even within a small department it is possible to place and benefit from multiple trainees.</w:t>
      </w:r>
    </w:p>
    <w:p w14:paraId="4C17BB82" w14:textId="77777777" w:rsidR="00FD7728" w:rsidRPr="00FD7728" w:rsidRDefault="00FD7728" w:rsidP="00230A0E">
      <w:pPr>
        <w:ind w:left="360"/>
        <w:rPr>
          <w:sz w:val="24"/>
          <w:szCs w:val="24"/>
        </w:rPr>
      </w:pPr>
      <w:r w:rsidRPr="00FD7728">
        <w:rPr>
          <w:sz w:val="24"/>
          <w:szCs w:val="24"/>
        </w:rPr>
        <w:t xml:space="preserve">Co-planning, co-teaching and co-assessment can improve teaching and learning for trainees and the schools they work in. </w:t>
      </w:r>
    </w:p>
    <w:p w14:paraId="45813F32" w14:textId="77777777" w:rsidR="00FD7728" w:rsidRPr="00FD7728" w:rsidRDefault="00FD7728" w:rsidP="00FD7728">
      <w:pPr>
        <w:ind w:left="360"/>
        <w:rPr>
          <w:sz w:val="24"/>
          <w:szCs w:val="24"/>
          <w:u w:val="single"/>
        </w:rPr>
      </w:pPr>
      <w:r w:rsidRPr="00FD7728">
        <w:rPr>
          <w:sz w:val="24"/>
          <w:szCs w:val="24"/>
          <w:u w:val="single"/>
        </w:rPr>
        <w:t>Who benefits?</w:t>
      </w:r>
    </w:p>
    <w:tbl>
      <w:tblPr>
        <w:tblStyle w:val="TableGrid"/>
        <w:tblpPr w:leftFromText="180" w:rightFromText="180" w:vertAnchor="text" w:horzAnchor="margin" w:tblpX="279" w:tblpY="79"/>
        <w:tblW w:w="0" w:type="auto"/>
        <w:tblLook w:val="04A0" w:firstRow="1" w:lastRow="0" w:firstColumn="1" w:lastColumn="0" w:noHBand="0" w:noVBand="1"/>
      </w:tblPr>
      <w:tblGrid>
        <w:gridCol w:w="2559"/>
        <w:gridCol w:w="2839"/>
        <w:gridCol w:w="2839"/>
      </w:tblGrid>
      <w:tr w:rsidR="00230A0E" w:rsidRPr="00FD7728" w14:paraId="550908AA" w14:textId="77777777" w:rsidTr="00230A0E">
        <w:tc>
          <w:tcPr>
            <w:tcW w:w="2559" w:type="dxa"/>
          </w:tcPr>
          <w:p w14:paraId="0A623A42" w14:textId="77777777" w:rsidR="00230A0E" w:rsidRPr="00FD7728" w:rsidRDefault="00230A0E" w:rsidP="00230A0E">
            <w:pPr>
              <w:tabs>
                <w:tab w:val="left" w:pos="360"/>
              </w:tabs>
              <w:spacing w:after="160" w:line="259" w:lineRule="auto"/>
              <w:ind w:left="360"/>
              <w:rPr>
                <w:b/>
              </w:rPr>
            </w:pPr>
            <w:r w:rsidRPr="00FD7728">
              <w:rPr>
                <w:b/>
              </w:rPr>
              <w:t xml:space="preserve">Pupil </w:t>
            </w:r>
          </w:p>
        </w:tc>
        <w:tc>
          <w:tcPr>
            <w:tcW w:w="2839" w:type="dxa"/>
          </w:tcPr>
          <w:p w14:paraId="7561A853" w14:textId="77777777" w:rsidR="00230A0E" w:rsidRPr="00FD7728" w:rsidRDefault="00230A0E" w:rsidP="00230A0E">
            <w:pPr>
              <w:spacing w:after="160" w:line="259" w:lineRule="auto"/>
              <w:ind w:left="360"/>
              <w:rPr>
                <w:b/>
              </w:rPr>
            </w:pPr>
            <w:r w:rsidRPr="00FD7728">
              <w:rPr>
                <w:b/>
              </w:rPr>
              <w:t xml:space="preserve">Mentor </w:t>
            </w:r>
          </w:p>
        </w:tc>
        <w:tc>
          <w:tcPr>
            <w:tcW w:w="2839" w:type="dxa"/>
          </w:tcPr>
          <w:p w14:paraId="3E837AC1" w14:textId="77777777" w:rsidR="00230A0E" w:rsidRPr="00FD7728" w:rsidRDefault="00230A0E" w:rsidP="00230A0E">
            <w:pPr>
              <w:spacing w:after="160" w:line="259" w:lineRule="auto"/>
              <w:ind w:left="360"/>
              <w:rPr>
                <w:b/>
              </w:rPr>
            </w:pPr>
            <w:r w:rsidRPr="00FD7728">
              <w:rPr>
                <w:b/>
              </w:rPr>
              <w:t xml:space="preserve">School/Department </w:t>
            </w:r>
          </w:p>
        </w:tc>
      </w:tr>
      <w:tr w:rsidR="00230A0E" w:rsidRPr="00FD7728" w14:paraId="4EB900FB" w14:textId="77777777" w:rsidTr="00230A0E">
        <w:tc>
          <w:tcPr>
            <w:tcW w:w="2559" w:type="dxa"/>
          </w:tcPr>
          <w:p w14:paraId="569E57B2" w14:textId="77777777" w:rsidR="00230A0E" w:rsidRPr="00FD7728" w:rsidRDefault="00230A0E" w:rsidP="00230A0E">
            <w:pPr>
              <w:spacing w:after="160" w:line="259" w:lineRule="auto"/>
              <w:ind w:left="29"/>
            </w:pPr>
            <w:r w:rsidRPr="00FD7728">
              <w:t>Adult support for groups and individuals increased</w:t>
            </w:r>
          </w:p>
        </w:tc>
        <w:tc>
          <w:tcPr>
            <w:tcW w:w="2839" w:type="dxa"/>
          </w:tcPr>
          <w:p w14:paraId="13971DC2" w14:textId="77777777" w:rsidR="00230A0E" w:rsidRPr="00FD7728" w:rsidRDefault="00230A0E" w:rsidP="00230A0E">
            <w:pPr>
              <w:spacing w:after="160" w:line="259" w:lineRule="auto"/>
              <w:ind w:left="23"/>
            </w:pPr>
            <w:r w:rsidRPr="00FD7728">
              <w:t xml:space="preserve">Having a team to work with </w:t>
            </w:r>
          </w:p>
          <w:p w14:paraId="275D6A01" w14:textId="77777777" w:rsidR="00230A0E" w:rsidRPr="00FD7728" w:rsidRDefault="00230A0E" w:rsidP="00230A0E">
            <w:pPr>
              <w:spacing w:after="160" w:line="259" w:lineRule="auto"/>
              <w:ind w:left="23"/>
            </w:pPr>
            <w:r w:rsidRPr="00FD7728">
              <w:t xml:space="preserve">Mentor gains skills in directing focused support and delegating </w:t>
            </w:r>
          </w:p>
        </w:tc>
        <w:tc>
          <w:tcPr>
            <w:tcW w:w="2839" w:type="dxa"/>
          </w:tcPr>
          <w:p w14:paraId="45B869A0" w14:textId="77777777" w:rsidR="00230A0E" w:rsidRPr="00FD7728" w:rsidRDefault="00230A0E" w:rsidP="00230A0E">
            <w:pPr>
              <w:spacing w:after="160" w:line="259" w:lineRule="auto"/>
              <w:ind w:left="15"/>
            </w:pPr>
            <w:r w:rsidRPr="00FD7728">
              <w:t xml:space="preserve">A departmental focus on strengthening teaching and learning </w:t>
            </w:r>
          </w:p>
        </w:tc>
      </w:tr>
      <w:tr w:rsidR="00230A0E" w:rsidRPr="00FD7728" w14:paraId="591CF5D5" w14:textId="77777777" w:rsidTr="00230A0E">
        <w:tc>
          <w:tcPr>
            <w:tcW w:w="2559" w:type="dxa"/>
          </w:tcPr>
          <w:p w14:paraId="2A677F91" w14:textId="77777777" w:rsidR="00230A0E" w:rsidRPr="00FD7728" w:rsidRDefault="00230A0E" w:rsidP="00230A0E">
            <w:pPr>
              <w:spacing w:after="160" w:line="259" w:lineRule="auto"/>
            </w:pPr>
            <w:r w:rsidRPr="00FD7728">
              <w:t>Addressing individual needs – reasonable adjustments</w:t>
            </w:r>
          </w:p>
        </w:tc>
        <w:tc>
          <w:tcPr>
            <w:tcW w:w="2839" w:type="dxa"/>
          </w:tcPr>
          <w:p w14:paraId="5F95A41B" w14:textId="77777777" w:rsidR="00230A0E" w:rsidRPr="00FD7728" w:rsidRDefault="00230A0E" w:rsidP="00230A0E">
            <w:pPr>
              <w:spacing w:after="160" w:line="259" w:lineRule="auto"/>
              <w:ind w:left="23"/>
            </w:pPr>
            <w:r w:rsidRPr="00FD7728">
              <w:t>Learning from different approaches – questioning and challenging own practice</w:t>
            </w:r>
          </w:p>
        </w:tc>
        <w:tc>
          <w:tcPr>
            <w:tcW w:w="2839" w:type="dxa"/>
          </w:tcPr>
          <w:p w14:paraId="0AC59620" w14:textId="77777777" w:rsidR="00230A0E" w:rsidRPr="00FD7728" w:rsidRDefault="00230A0E" w:rsidP="00230A0E">
            <w:pPr>
              <w:spacing w:after="160" w:line="259" w:lineRule="auto"/>
              <w:ind w:left="15"/>
            </w:pPr>
            <w:r w:rsidRPr="00FD7728">
              <w:t xml:space="preserve">A greater sense of team and collaboration – even more so for small departments who miss this. </w:t>
            </w:r>
          </w:p>
        </w:tc>
      </w:tr>
      <w:tr w:rsidR="00230A0E" w:rsidRPr="00FD7728" w14:paraId="2822CC22" w14:textId="77777777" w:rsidTr="00230A0E">
        <w:tc>
          <w:tcPr>
            <w:tcW w:w="2559" w:type="dxa"/>
          </w:tcPr>
          <w:p w14:paraId="470FCCA9" w14:textId="77777777" w:rsidR="00230A0E" w:rsidRPr="00FD7728" w:rsidRDefault="00230A0E" w:rsidP="00230A0E">
            <w:pPr>
              <w:spacing w:after="160" w:line="259" w:lineRule="auto"/>
            </w:pPr>
            <w:r w:rsidRPr="00FD7728">
              <w:t>Improving on task/engagement</w:t>
            </w:r>
          </w:p>
        </w:tc>
        <w:tc>
          <w:tcPr>
            <w:tcW w:w="2839" w:type="dxa"/>
          </w:tcPr>
          <w:p w14:paraId="442B58E5" w14:textId="77777777" w:rsidR="00230A0E" w:rsidRPr="00FD7728" w:rsidRDefault="00230A0E" w:rsidP="00230A0E">
            <w:pPr>
              <w:spacing w:after="160" w:line="259" w:lineRule="auto"/>
              <w:ind w:left="23"/>
            </w:pPr>
            <w:r w:rsidRPr="00FD7728">
              <w:t xml:space="preserve">Being able to observe own class – strengthening forensic teaching </w:t>
            </w:r>
          </w:p>
        </w:tc>
        <w:tc>
          <w:tcPr>
            <w:tcW w:w="2839" w:type="dxa"/>
          </w:tcPr>
          <w:p w14:paraId="4DFE1970" w14:textId="77777777" w:rsidR="00230A0E" w:rsidRPr="00FD7728" w:rsidRDefault="00230A0E" w:rsidP="00230A0E">
            <w:pPr>
              <w:spacing w:after="160" w:line="259" w:lineRule="auto"/>
              <w:ind w:left="15"/>
            </w:pPr>
            <w:r w:rsidRPr="00FD7728">
              <w:t>Opportunities to innovate and plan curriculum developments as a team</w:t>
            </w:r>
          </w:p>
        </w:tc>
      </w:tr>
      <w:tr w:rsidR="00230A0E" w:rsidRPr="00FD7728" w14:paraId="57AACF63" w14:textId="77777777" w:rsidTr="00230A0E">
        <w:tc>
          <w:tcPr>
            <w:tcW w:w="2559" w:type="dxa"/>
          </w:tcPr>
          <w:p w14:paraId="59FE0426" w14:textId="77777777" w:rsidR="00230A0E" w:rsidRPr="00FD7728" w:rsidRDefault="00230A0E" w:rsidP="00230A0E">
            <w:pPr>
              <w:spacing w:after="160" w:line="259" w:lineRule="auto"/>
            </w:pPr>
            <w:r w:rsidRPr="00FD7728">
              <w:t>Additional expertise – subject specialist in class</w:t>
            </w:r>
          </w:p>
        </w:tc>
        <w:tc>
          <w:tcPr>
            <w:tcW w:w="2839" w:type="dxa"/>
          </w:tcPr>
          <w:p w14:paraId="00F210CE" w14:textId="77777777" w:rsidR="00230A0E" w:rsidRPr="00FD7728" w:rsidRDefault="00230A0E" w:rsidP="00230A0E">
            <w:pPr>
              <w:spacing w:after="160" w:line="259" w:lineRule="auto"/>
              <w:ind w:left="23"/>
            </w:pPr>
            <w:r w:rsidRPr="00FD7728">
              <w:t>Having two helpers to your workload but being able to mentor them together</w:t>
            </w:r>
          </w:p>
        </w:tc>
        <w:tc>
          <w:tcPr>
            <w:tcW w:w="2839" w:type="dxa"/>
          </w:tcPr>
          <w:p w14:paraId="617B70FF" w14:textId="77777777" w:rsidR="00230A0E" w:rsidRPr="00FD7728" w:rsidRDefault="00230A0E" w:rsidP="00230A0E">
            <w:pPr>
              <w:spacing w:after="160" w:line="259" w:lineRule="auto"/>
              <w:ind w:left="15"/>
            </w:pPr>
            <w:r w:rsidRPr="00FD7728">
              <w:t>Inclusivity is promoted through a co-teaching model</w:t>
            </w:r>
          </w:p>
        </w:tc>
      </w:tr>
      <w:tr w:rsidR="00230A0E" w:rsidRPr="00FD7728" w14:paraId="765477C9" w14:textId="77777777" w:rsidTr="00230A0E">
        <w:tc>
          <w:tcPr>
            <w:tcW w:w="2559" w:type="dxa"/>
          </w:tcPr>
          <w:p w14:paraId="4EE2EBB8" w14:textId="77777777" w:rsidR="00230A0E" w:rsidRPr="00FD7728" w:rsidRDefault="00230A0E" w:rsidP="00230A0E">
            <w:pPr>
              <w:spacing w:after="160" w:line="259" w:lineRule="auto"/>
            </w:pPr>
            <w:r w:rsidRPr="00FD7728">
              <w:t>Response to pupil questions</w:t>
            </w:r>
          </w:p>
          <w:p w14:paraId="7279DB1E" w14:textId="77777777" w:rsidR="00230A0E" w:rsidRPr="00FD7728" w:rsidRDefault="00230A0E" w:rsidP="00230A0E">
            <w:pPr>
              <w:spacing w:after="160" w:line="259" w:lineRule="auto"/>
              <w:ind w:left="29"/>
            </w:pPr>
          </w:p>
        </w:tc>
        <w:tc>
          <w:tcPr>
            <w:tcW w:w="2839" w:type="dxa"/>
          </w:tcPr>
          <w:p w14:paraId="47D7EF9B" w14:textId="77777777" w:rsidR="00230A0E" w:rsidRPr="00FD7728" w:rsidRDefault="00230A0E" w:rsidP="00230A0E">
            <w:pPr>
              <w:spacing w:after="160" w:line="259" w:lineRule="auto"/>
              <w:ind w:left="23"/>
            </w:pPr>
            <w:r w:rsidRPr="00FD7728">
              <w:t xml:space="preserve">Trainees talk through, problematize, reflect and refine together. Not everything focused on you to support </w:t>
            </w:r>
          </w:p>
        </w:tc>
        <w:tc>
          <w:tcPr>
            <w:tcW w:w="2839" w:type="dxa"/>
          </w:tcPr>
          <w:p w14:paraId="420FE1C1" w14:textId="77777777" w:rsidR="00230A0E" w:rsidRPr="00FD7728" w:rsidRDefault="00230A0E" w:rsidP="00230A0E">
            <w:pPr>
              <w:spacing w:after="160" w:line="259" w:lineRule="auto"/>
              <w:ind w:left="15"/>
            </w:pPr>
            <w:r>
              <w:t>High degree of on-</w:t>
            </w:r>
            <w:r w:rsidRPr="00FD7728">
              <w:t>going professional learning for the wider departmental team and school</w:t>
            </w:r>
          </w:p>
        </w:tc>
      </w:tr>
      <w:tr w:rsidR="00230A0E" w:rsidRPr="00FD7728" w14:paraId="072C73D1" w14:textId="77777777" w:rsidTr="00230A0E">
        <w:tc>
          <w:tcPr>
            <w:tcW w:w="2559" w:type="dxa"/>
          </w:tcPr>
          <w:p w14:paraId="21844F96" w14:textId="77777777" w:rsidR="00230A0E" w:rsidRPr="00FD7728" w:rsidRDefault="00230A0E" w:rsidP="00230A0E">
            <w:pPr>
              <w:spacing w:after="160" w:line="259" w:lineRule="auto"/>
            </w:pPr>
            <w:r w:rsidRPr="00FD7728">
              <w:t>Inclusivity is strengthened</w:t>
            </w:r>
          </w:p>
        </w:tc>
        <w:tc>
          <w:tcPr>
            <w:tcW w:w="2839" w:type="dxa"/>
          </w:tcPr>
          <w:p w14:paraId="6BEDE0D1" w14:textId="77777777" w:rsidR="00230A0E" w:rsidRPr="00FD7728" w:rsidRDefault="00230A0E" w:rsidP="00230A0E">
            <w:pPr>
              <w:spacing w:after="160" w:line="259" w:lineRule="auto"/>
              <w:ind w:left="23"/>
            </w:pPr>
            <w:r w:rsidRPr="00FD7728">
              <w:t xml:space="preserve">Collaborative learning </w:t>
            </w:r>
          </w:p>
        </w:tc>
        <w:tc>
          <w:tcPr>
            <w:tcW w:w="2839" w:type="dxa"/>
          </w:tcPr>
          <w:p w14:paraId="1FD69C07" w14:textId="77777777" w:rsidR="00230A0E" w:rsidRPr="00FD7728" w:rsidRDefault="00230A0E" w:rsidP="00230A0E">
            <w:pPr>
              <w:spacing w:after="160" w:line="259" w:lineRule="auto"/>
              <w:ind w:left="15"/>
            </w:pPr>
            <w:r w:rsidRPr="00FD7728">
              <w:t>Tutor group also gains support.</w:t>
            </w:r>
          </w:p>
        </w:tc>
      </w:tr>
      <w:tr w:rsidR="00230A0E" w:rsidRPr="00FD7728" w14:paraId="07860029" w14:textId="77777777" w:rsidTr="00230A0E">
        <w:tc>
          <w:tcPr>
            <w:tcW w:w="2559" w:type="dxa"/>
          </w:tcPr>
          <w:p w14:paraId="4F63C00A" w14:textId="77777777" w:rsidR="00230A0E" w:rsidRPr="00FD7728" w:rsidRDefault="00230A0E" w:rsidP="00230A0E">
            <w:pPr>
              <w:spacing w:after="160" w:line="259" w:lineRule="auto"/>
            </w:pPr>
            <w:r w:rsidRPr="00FD7728">
              <w:t>Opportunities for enhanced reflection</w:t>
            </w:r>
          </w:p>
        </w:tc>
        <w:tc>
          <w:tcPr>
            <w:tcW w:w="2839" w:type="dxa"/>
          </w:tcPr>
          <w:p w14:paraId="40CB126E" w14:textId="77777777" w:rsidR="00230A0E" w:rsidRPr="00FD7728" w:rsidRDefault="00230A0E" w:rsidP="00230A0E">
            <w:pPr>
              <w:spacing w:after="160" w:line="259" w:lineRule="auto"/>
              <w:ind w:left="23"/>
            </w:pPr>
            <w:r w:rsidRPr="00FD7728">
              <w:t>Skills to encourage trainees to reflect and respond</w:t>
            </w:r>
          </w:p>
        </w:tc>
        <w:tc>
          <w:tcPr>
            <w:tcW w:w="2839" w:type="dxa"/>
          </w:tcPr>
          <w:p w14:paraId="498ED4C9" w14:textId="77777777" w:rsidR="00230A0E" w:rsidRPr="00FD7728" w:rsidRDefault="00230A0E" w:rsidP="00230A0E">
            <w:pPr>
              <w:spacing w:after="160" w:line="259" w:lineRule="auto"/>
              <w:ind w:left="15"/>
            </w:pPr>
            <w:r w:rsidRPr="00FD7728">
              <w:t>Develop strong reflective practice</w:t>
            </w:r>
          </w:p>
        </w:tc>
      </w:tr>
      <w:tr w:rsidR="00230A0E" w:rsidRPr="00FD7728" w14:paraId="65341CA2" w14:textId="77777777" w:rsidTr="00230A0E">
        <w:tc>
          <w:tcPr>
            <w:tcW w:w="2559" w:type="dxa"/>
          </w:tcPr>
          <w:p w14:paraId="3AC0CFE7" w14:textId="77777777" w:rsidR="00230A0E" w:rsidRPr="00FD7728" w:rsidRDefault="00230A0E" w:rsidP="00230A0E">
            <w:pPr>
              <w:spacing w:after="160" w:line="259" w:lineRule="auto"/>
            </w:pPr>
            <w:r>
              <w:t>Beneficial adult to child ratio</w:t>
            </w:r>
          </w:p>
          <w:p w14:paraId="11F4B4CD" w14:textId="77777777" w:rsidR="00230A0E" w:rsidRPr="00FD7728" w:rsidRDefault="00230A0E" w:rsidP="00230A0E">
            <w:pPr>
              <w:spacing w:after="160" w:line="259" w:lineRule="auto"/>
            </w:pPr>
          </w:p>
        </w:tc>
        <w:tc>
          <w:tcPr>
            <w:tcW w:w="2839" w:type="dxa"/>
          </w:tcPr>
          <w:p w14:paraId="73C8D4D1" w14:textId="77777777" w:rsidR="00230A0E" w:rsidRPr="00FD7728" w:rsidRDefault="00230A0E" w:rsidP="00230A0E">
            <w:pPr>
              <w:spacing w:after="160" w:line="259" w:lineRule="auto"/>
              <w:ind w:left="23"/>
            </w:pPr>
            <w:r w:rsidRPr="00FD7728">
              <w:t>Shared workload - marking and assessment  is shared out and overseen by mentor</w:t>
            </w:r>
          </w:p>
        </w:tc>
        <w:tc>
          <w:tcPr>
            <w:tcW w:w="2839" w:type="dxa"/>
          </w:tcPr>
          <w:p w14:paraId="7A99468A" w14:textId="77777777" w:rsidR="00230A0E" w:rsidRPr="00FD7728" w:rsidRDefault="00230A0E" w:rsidP="00230A0E">
            <w:pPr>
              <w:spacing w:after="160" w:line="259" w:lineRule="auto"/>
              <w:ind w:left="15"/>
            </w:pPr>
            <w:r w:rsidRPr="00FD7728">
              <w:t xml:space="preserve">Developing a community of practice </w:t>
            </w:r>
          </w:p>
        </w:tc>
      </w:tr>
    </w:tbl>
    <w:p w14:paraId="1B3B6079" w14:textId="77777777" w:rsidR="00230A0E" w:rsidRDefault="00230A0E" w:rsidP="00230A0E">
      <w:pPr>
        <w:ind w:left="720"/>
        <w:rPr>
          <w:sz w:val="24"/>
          <w:szCs w:val="24"/>
        </w:rPr>
      </w:pPr>
    </w:p>
    <w:p w14:paraId="4FF0D1D4" w14:textId="77777777" w:rsidR="00FD7728" w:rsidRPr="00230A0E" w:rsidRDefault="00FD7728" w:rsidP="00230A0E">
      <w:pPr>
        <w:numPr>
          <w:ilvl w:val="0"/>
          <w:numId w:val="2"/>
        </w:numPr>
        <w:rPr>
          <w:sz w:val="24"/>
          <w:szCs w:val="24"/>
        </w:rPr>
      </w:pPr>
      <w:r w:rsidRPr="00FD7728">
        <w:rPr>
          <w:sz w:val="24"/>
          <w:szCs w:val="24"/>
        </w:rPr>
        <w:t xml:space="preserve">Student teacher - Multiple benefits are experienced by the student teacher. Being in a paired placement provides student teachers with a rich learning experience because of tensions, dialog and reflections that come from being placed with a peer. More likely to risk take. </w:t>
      </w:r>
    </w:p>
    <w:p w14:paraId="64AEA3FB" w14:textId="77777777" w:rsidR="00FD7728" w:rsidRPr="00230A0E" w:rsidRDefault="00FD7728" w:rsidP="00230A0E">
      <w:pPr>
        <w:numPr>
          <w:ilvl w:val="0"/>
          <w:numId w:val="2"/>
        </w:numPr>
        <w:rPr>
          <w:sz w:val="24"/>
          <w:szCs w:val="24"/>
        </w:rPr>
      </w:pPr>
      <w:r w:rsidRPr="00FD7728">
        <w:rPr>
          <w:sz w:val="24"/>
          <w:szCs w:val="24"/>
        </w:rPr>
        <w:t xml:space="preserve">Pupils - benefit from having multiple student teachers working in their classroom. </w:t>
      </w:r>
    </w:p>
    <w:p w14:paraId="1AD5B897" w14:textId="77777777" w:rsidR="00FD7728" w:rsidRPr="00230A0E" w:rsidRDefault="00FD7728" w:rsidP="00230A0E">
      <w:pPr>
        <w:numPr>
          <w:ilvl w:val="0"/>
          <w:numId w:val="2"/>
        </w:numPr>
        <w:rPr>
          <w:sz w:val="24"/>
          <w:szCs w:val="24"/>
        </w:rPr>
      </w:pPr>
      <w:r w:rsidRPr="00FD7728">
        <w:rPr>
          <w:sz w:val="24"/>
          <w:szCs w:val="24"/>
        </w:rPr>
        <w:t>Mentors and Departments – trainees bring extra capacity to their team. There is a focus on improved teaching that the whole team supports and engages with.</w:t>
      </w:r>
    </w:p>
    <w:p w14:paraId="14173B9F" w14:textId="77777777" w:rsidR="00FD7728" w:rsidRPr="00230A0E" w:rsidRDefault="00FD7728" w:rsidP="00230A0E">
      <w:pPr>
        <w:ind w:left="360"/>
        <w:rPr>
          <w:b/>
          <w:sz w:val="24"/>
          <w:szCs w:val="24"/>
        </w:rPr>
      </w:pPr>
      <w:r w:rsidRPr="00FD7728">
        <w:rPr>
          <w:b/>
          <w:sz w:val="24"/>
          <w:szCs w:val="24"/>
        </w:rPr>
        <w:t xml:space="preserve">Benefits of multiple placements in each department </w:t>
      </w:r>
    </w:p>
    <w:p w14:paraId="5A56F02B" w14:textId="77777777" w:rsidR="00FD7728" w:rsidRPr="00230A0E" w:rsidRDefault="00FD7728" w:rsidP="00FD7728">
      <w:pPr>
        <w:ind w:left="360"/>
        <w:rPr>
          <w:sz w:val="24"/>
          <w:szCs w:val="24"/>
        </w:rPr>
      </w:pPr>
      <w:r w:rsidRPr="00230A0E">
        <w:rPr>
          <w:sz w:val="24"/>
          <w:szCs w:val="24"/>
        </w:rPr>
        <w:t xml:space="preserve">Trainee teachers can enhance school development planning; additional trainees, additional capacity. Strengthening the </w:t>
      </w:r>
      <w:r w:rsidRPr="00230A0E">
        <w:rPr>
          <w:b/>
          <w:sz w:val="24"/>
          <w:szCs w:val="24"/>
        </w:rPr>
        <w:t>community of practice</w:t>
      </w:r>
      <w:r w:rsidRPr="00230A0E">
        <w:rPr>
          <w:sz w:val="24"/>
          <w:szCs w:val="24"/>
        </w:rPr>
        <w:t xml:space="preserve"> across the school and within departments</w:t>
      </w:r>
    </w:p>
    <w:p w14:paraId="54487E4E" w14:textId="77777777" w:rsidR="00FD7728" w:rsidRPr="00230A0E" w:rsidRDefault="00FD7728" w:rsidP="00FD7728">
      <w:pPr>
        <w:ind w:left="360"/>
        <w:rPr>
          <w:sz w:val="24"/>
          <w:szCs w:val="24"/>
        </w:rPr>
      </w:pPr>
    </w:p>
    <w:p w14:paraId="7C226A9F" w14:textId="77777777" w:rsidR="00FD7728" w:rsidRDefault="00A04766" w:rsidP="00917079">
      <w:pPr>
        <w:ind w:left="360"/>
        <w:rPr>
          <w:b/>
          <w:sz w:val="28"/>
          <w:szCs w:val="28"/>
        </w:rPr>
      </w:pPr>
      <w:r>
        <w:rPr>
          <w:b/>
          <w:sz w:val="28"/>
          <w:szCs w:val="28"/>
        </w:rPr>
        <w:t>Responding to risk, not reacting to fear</w:t>
      </w:r>
      <w:r w:rsidR="00E56AD6">
        <w:rPr>
          <w:b/>
          <w:sz w:val="28"/>
          <w:szCs w:val="28"/>
        </w:rPr>
        <w:t xml:space="preserve"> – Please add to this</w:t>
      </w:r>
    </w:p>
    <w:p w14:paraId="4F61525E" w14:textId="77777777" w:rsidR="00A04766" w:rsidRDefault="00A04766" w:rsidP="00917079">
      <w:pPr>
        <w:ind w:left="360"/>
        <w:rPr>
          <w:sz w:val="24"/>
          <w:szCs w:val="24"/>
        </w:rPr>
      </w:pPr>
      <w:r w:rsidRPr="00E56AD6">
        <w:rPr>
          <w:sz w:val="24"/>
          <w:szCs w:val="24"/>
        </w:rPr>
        <w:t>What risks does a trainee present to a school community that are different from any other member of staff?</w:t>
      </w:r>
    </w:p>
    <w:p w14:paraId="67E019FB" w14:textId="432F0E97" w:rsidR="005E3675" w:rsidRDefault="005E3675" w:rsidP="00E56AD6">
      <w:pPr>
        <w:pStyle w:val="ListParagraph"/>
        <w:numPr>
          <w:ilvl w:val="0"/>
          <w:numId w:val="4"/>
        </w:numPr>
        <w:rPr>
          <w:sz w:val="24"/>
          <w:szCs w:val="24"/>
        </w:rPr>
      </w:pPr>
      <w:r>
        <w:rPr>
          <w:sz w:val="24"/>
          <w:szCs w:val="24"/>
        </w:rPr>
        <w:t xml:space="preserve">Moving </w:t>
      </w:r>
      <w:r w:rsidR="00B36C52">
        <w:rPr>
          <w:sz w:val="24"/>
          <w:szCs w:val="24"/>
        </w:rPr>
        <w:t xml:space="preserve">continuously </w:t>
      </w:r>
      <w:r>
        <w:rPr>
          <w:sz w:val="24"/>
          <w:szCs w:val="24"/>
        </w:rPr>
        <w:t>between two settings, e</w:t>
      </w:r>
      <w:r w:rsidR="00F9508D">
        <w:rPr>
          <w:sz w:val="24"/>
          <w:szCs w:val="24"/>
        </w:rPr>
        <w:t>.g school placement and University</w:t>
      </w:r>
    </w:p>
    <w:p w14:paraId="4ED06BED" w14:textId="77777777" w:rsidR="00E56AD6" w:rsidRPr="00E56AD6" w:rsidRDefault="00E56AD6" w:rsidP="00E56AD6">
      <w:pPr>
        <w:pStyle w:val="ListParagraph"/>
        <w:numPr>
          <w:ilvl w:val="0"/>
          <w:numId w:val="4"/>
        </w:numPr>
        <w:rPr>
          <w:sz w:val="24"/>
          <w:szCs w:val="24"/>
        </w:rPr>
      </w:pPr>
      <w:r>
        <w:rPr>
          <w:sz w:val="24"/>
          <w:szCs w:val="24"/>
        </w:rPr>
        <w:t>?</w:t>
      </w:r>
    </w:p>
    <w:p w14:paraId="2CC94195" w14:textId="77777777" w:rsidR="00A04766" w:rsidRPr="00A04766" w:rsidRDefault="00A04766" w:rsidP="00A04766">
      <w:pPr>
        <w:ind w:left="360"/>
        <w:rPr>
          <w:sz w:val="24"/>
          <w:szCs w:val="24"/>
        </w:rPr>
      </w:pPr>
      <w:r w:rsidRPr="00A04766">
        <w:rPr>
          <w:sz w:val="24"/>
          <w:szCs w:val="24"/>
        </w:rPr>
        <w:t>What practical ways can we successfully reduce the risk that a trainee may present to a school community?</w:t>
      </w:r>
    </w:p>
    <w:p w14:paraId="317CAC78" w14:textId="77777777" w:rsidR="005E3675" w:rsidRDefault="00E56AD6" w:rsidP="005E3675">
      <w:pPr>
        <w:pStyle w:val="ListParagraph"/>
        <w:numPr>
          <w:ilvl w:val="0"/>
          <w:numId w:val="3"/>
        </w:numPr>
        <w:rPr>
          <w:sz w:val="24"/>
          <w:szCs w:val="24"/>
        </w:rPr>
      </w:pPr>
      <w:r w:rsidRPr="00E56AD6">
        <w:rPr>
          <w:sz w:val="24"/>
          <w:szCs w:val="24"/>
        </w:rPr>
        <w:t xml:space="preserve">Work closely with professional lead body to </w:t>
      </w:r>
      <w:r>
        <w:rPr>
          <w:sz w:val="24"/>
          <w:szCs w:val="24"/>
        </w:rPr>
        <w:t xml:space="preserve">reduce the risk from working across two settings </w:t>
      </w:r>
      <w:r w:rsidRPr="00E56AD6">
        <w:rPr>
          <w:sz w:val="24"/>
          <w:szCs w:val="24"/>
        </w:rPr>
        <w:t xml:space="preserve">in close proximity with </w:t>
      </w:r>
      <w:r>
        <w:rPr>
          <w:sz w:val="24"/>
          <w:szCs w:val="24"/>
        </w:rPr>
        <w:t xml:space="preserve">others without a reasonable time gap </w:t>
      </w:r>
      <w:r w:rsidRPr="005E3675">
        <w:rPr>
          <w:sz w:val="24"/>
          <w:szCs w:val="24"/>
        </w:rPr>
        <w:t>between.</w:t>
      </w:r>
    </w:p>
    <w:p w14:paraId="6DF03A88" w14:textId="16F13CE8" w:rsidR="00E56AD6" w:rsidRPr="005E3675" w:rsidRDefault="004746FC" w:rsidP="005E3675">
      <w:pPr>
        <w:pStyle w:val="ListParagraph"/>
        <w:numPr>
          <w:ilvl w:val="0"/>
          <w:numId w:val="3"/>
        </w:numPr>
        <w:rPr>
          <w:sz w:val="24"/>
          <w:szCs w:val="24"/>
        </w:rPr>
      </w:pPr>
      <w:r w:rsidRPr="005E3675">
        <w:rPr>
          <w:sz w:val="24"/>
          <w:szCs w:val="24"/>
        </w:rPr>
        <w:t xml:space="preserve">Consider one teaching placement as the ‘norm’ </w:t>
      </w:r>
      <w:r w:rsidR="00A46CFF" w:rsidRPr="005E3675">
        <w:rPr>
          <w:sz w:val="24"/>
          <w:szCs w:val="24"/>
        </w:rPr>
        <w:t>where the trainee teacher remains attached to the school in case of closures. A</w:t>
      </w:r>
      <w:r w:rsidRPr="005E3675">
        <w:rPr>
          <w:sz w:val="24"/>
          <w:szCs w:val="24"/>
        </w:rPr>
        <w:t xml:space="preserve"> second </w:t>
      </w:r>
      <w:r w:rsidR="00A46CFF" w:rsidRPr="005E3675">
        <w:rPr>
          <w:sz w:val="24"/>
          <w:szCs w:val="24"/>
        </w:rPr>
        <w:t xml:space="preserve">placement </w:t>
      </w:r>
      <w:r w:rsidRPr="005E3675">
        <w:rPr>
          <w:sz w:val="24"/>
          <w:szCs w:val="24"/>
        </w:rPr>
        <w:t xml:space="preserve">for enrichment that is provided late in the year, </w:t>
      </w:r>
      <w:r w:rsidR="00A46CFF" w:rsidRPr="005E3675">
        <w:rPr>
          <w:sz w:val="24"/>
          <w:szCs w:val="24"/>
        </w:rPr>
        <w:t xml:space="preserve">which is flexible and </w:t>
      </w:r>
      <w:r w:rsidRPr="005E3675">
        <w:rPr>
          <w:sz w:val="24"/>
          <w:szCs w:val="24"/>
        </w:rPr>
        <w:t>determined by circumstances (including school closures)</w:t>
      </w:r>
      <w:r w:rsidR="00A46CFF" w:rsidRPr="005E3675">
        <w:rPr>
          <w:sz w:val="24"/>
          <w:szCs w:val="24"/>
        </w:rPr>
        <w:t>. If schools are closed for part of the year, the main focus is on consolidating development within the main placement school, not moving to another.</w:t>
      </w:r>
    </w:p>
    <w:p w14:paraId="340258DC" w14:textId="3FBA446F" w:rsidR="00E56AD6" w:rsidRDefault="00E56AD6" w:rsidP="00E56AD6">
      <w:pPr>
        <w:pStyle w:val="ListParagraph"/>
        <w:numPr>
          <w:ilvl w:val="0"/>
          <w:numId w:val="3"/>
        </w:numPr>
        <w:rPr>
          <w:sz w:val="24"/>
          <w:szCs w:val="24"/>
        </w:rPr>
      </w:pPr>
      <w:r>
        <w:rPr>
          <w:sz w:val="24"/>
          <w:szCs w:val="24"/>
        </w:rPr>
        <w:t>Complete a confidential risk assessment with the trainee where the trainee may present with underlying medical vulnerabilities including anxiety, see below for example.</w:t>
      </w:r>
      <w:r w:rsidR="005E3675">
        <w:rPr>
          <w:sz w:val="24"/>
          <w:szCs w:val="24"/>
        </w:rPr>
        <w:t xml:space="preserve"> Ensure the trainee has agency in the process and the solutions.</w:t>
      </w:r>
    </w:p>
    <w:p w14:paraId="01778DCA" w14:textId="77777777" w:rsidR="00F9508D" w:rsidRDefault="00F9508D" w:rsidP="00F9508D">
      <w:pPr>
        <w:rPr>
          <w:sz w:val="24"/>
          <w:szCs w:val="24"/>
        </w:rPr>
      </w:pPr>
    </w:p>
    <w:p w14:paraId="3FA6BC65" w14:textId="77777777" w:rsidR="00F9508D" w:rsidRDefault="00F9508D" w:rsidP="00F9508D">
      <w:pPr>
        <w:rPr>
          <w:sz w:val="24"/>
          <w:szCs w:val="24"/>
        </w:rPr>
      </w:pPr>
    </w:p>
    <w:p w14:paraId="7A965245" w14:textId="77777777" w:rsidR="00F9508D" w:rsidRDefault="00F9508D" w:rsidP="00F9508D">
      <w:pPr>
        <w:rPr>
          <w:sz w:val="24"/>
          <w:szCs w:val="24"/>
        </w:rPr>
      </w:pPr>
    </w:p>
    <w:p w14:paraId="73DF0A43" w14:textId="77777777" w:rsidR="00F9508D" w:rsidRDefault="00F9508D" w:rsidP="00F9508D">
      <w:pPr>
        <w:rPr>
          <w:sz w:val="24"/>
          <w:szCs w:val="24"/>
        </w:rPr>
      </w:pPr>
    </w:p>
    <w:p w14:paraId="4E99AD71" w14:textId="77777777" w:rsidR="00F9508D" w:rsidRPr="00F9508D" w:rsidRDefault="00F9508D" w:rsidP="00F9508D">
      <w:pPr>
        <w:rPr>
          <w:sz w:val="24"/>
          <w:szCs w:val="24"/>
        </w:rPr>
      </w:pPr>
    </w:p>
    <w:p w14:paraId="5917C7A9" w14:textId="51F2418D" w:rsidR="00A04766" w:rsidRPr="00A04766" w:rsidRDefault="00F9508D" w:rsidP="00A04766">
      <w:pPr>
        <w:jc w:val="center"/>
        <w:rPr>
          <w:rFonts w:ascii="Segoe UI" w:hAnsi="Segoe UI" w:cs="Segoe UI"/>
          <w:iCs/>
          <w:color w:val="201F1E"/>
          <w:sz w:val="23"/>
          <w:szCs w:val="23"/>
          <w:shd w:val="clear" w:color="auto" w:fill="FFFFFF"/>
        </w:rPr>
      </w:pPr>
      <w:r>
        <w:rPr>
          <w:rFonts w:ascii="Segoe UI" w:hAnsi="Segoe UI" w:cs="Segoe UI"/>
          <w:iCs/>
          <w:color w:val="201F1E"/>
          <w:sz w:val="23"/>
          <w:szCs w:val="23"/>
          <w:shd w:val="clear" w:color="auto" w:fill="FFFFFF"/>
        </w:rPr>
        <w:t>Trainee Teacher</w:t>
      </w:r>
      <w:r w:rsidR="00A04766" w:rsidRPr="00A04766">
        <w:rPr>
          <w:rFonts w:ascii="Segoe UI" w:hAnsi="Segoe UI" w:cs="Segoe UI"/>
          <w:iCs/>
          <w:color w:val="201F1E"/>
          <w:sz w:val="23"/>
          <w:szCs w:val="23"/>
          <w:shd w:val="clear" w:color="auto" w:fill="FFFFFF"/>
        </w:rPr>
        <w:t xml:space="preserve"> Confidential Risk Assessment</w:t>
      </w:r>
      <w:r>
        <w:rPr>
          <w:rFonts w:ascii="Segoe UI" w:hAnsi="Segoe UI" w:cs="Segoe UI"/>
          <w:iCs/>
          <w:color w:val="201F1E"/>
          <w:sz w:val="23"/>
          <w:szCs w:val="23"/>
          <w:shd w:val="clear" w:color="auto" w:fill="FFFFFF"/>
        </w:rPr>
        <w:t xml:space="preserve"> in relation to Covid-19</w:t>
      </w:r>
    </w:p>
    <w:tbl>
      <w:tblPr>
        <w:tblStyle w:val="TableGrid1"/>
        <w:tblW w:w="0" w:type="auto"/>
        <w:tblLook w:val="04A0" w:firstRow="1" w:lastRow="0" w:firstColumn="1" w:lastColumn="0" w:noHBand="0" w:noVBand="1"/>
      </w:tblPr>
      <w:tblGrid>
        <w:gridCol w:w="3823"/>
        <w:gridCol w:w="1559"/>
        <w:gridCol w:w="1567"/>
        <w:gridCol w:w="2067"/>
      </w:tblGrid>
      <w:tr w:rsidR="00A04766" w:rsidRPr="00A04766" w14:paraId="3CA4BEBC" w14:textId="77777777" w:rsidTr="00AE33CF">
        <w:tc>
          <w:tcPr>
            <w:tcW w:w="5382" w:type="dxa"/>
            <w:gridSpan w:val="2"/>
          </w:tcPr>
          <w:p w14:paraId="00539323" w14:textId="77777777" w:rsidR="00A04766" w:rsidRPr="00A04766" w:rsidRDefault="00A04766" w:rsidP="00A04766">
            <w:r w:rsidRPr="00A04766">
              <w:t>Name</w:t>
            </w:r>
          </w:p>
        </w:tc>
        <w:tc>
          <w:tcPr>
            <w:tcW w:w="3634" w:type="dxa"/>
            <w:gridSpan w:val="2"/>
          </w:tcPr>
          <w:p w14:paraId="2140590B" w14:textId="77777777" w:rsidR="00A04766" w:rsidRPr="00A04766" w:rsidRDefault="00A04766" w:rsidP="00A04766">
            <w:r w:rsidRPr="00A04766">
              <w:t>Role(s) in school and where based:</w:t>
            </w:r>
          </w:p>
        </w:tc>
      </w:tr>
      <w:tr w:rsidR="00A04766" w:rsidRPr="00A04766" w14:paraId="27ED92F9" w14:textId="77777777" w:rsidTr="00AE33CF">
        <w:tc>
          <w:tcPr>
            <w:tcW w:w="5382" w:type="dxa"/>
            <w:gridSpan w:val="2"/>
          </w:tcPr>
          <w:p w14:paraId="1735FBF4" w14:textId="77777777" w:rsidR="00A04766" w:rsidRPr="00A04766" w:rsidRDefault="00A04766" w:rsidP="00A04766"/>
        </w:tc>
        <w:tc>
          <w:tcPr>
            <w:tcW w:w="3634" w:type="dxa"/>
            <w:gridSpan w:val="2"/>
          </w:tcPr>
          <w:p w14:paraId="0D0F8853" w14:textId="77777777" w:rsidR="00A04766" w:rsidRPr="00A04766" w:rsidRDefault="00A04766" w:rsidP="00A04766"/>
        </w:tc>
      </w:tr>
      <w:tr w:rsidR="00A04766" w:rsidRPr="00A04766" w14:paraId="18809492" w14:textId="77777777" w:rsidTr="00AE33CF">
        <w:tc>
          <w:tcPr>
            <w:tcW w:w="9016" w:type="dxa"/>
            <w:gridSpan w:val="4"/>
          </w:tcPr>
          <w:p w14:paraId="602C247C" w14:textId="77777777" w:rsidR="00A04766" w:rsidRPr="00A04766" w:rsidRDefault="00A04766" w:rsidP="00A04766"/>
        </w:tc>
      </w:tr>
      <w:tr w:rsidR="00A04766" w:rsidRPr="00A04766" w14:paraId="44038314" w14:textId="77777777" w:rsidTr="00AE33CF">
        <w:tc>
          <w:tcPr>
            <w:tcW w:w="3823" w:type="dxa"/>
          </w:tcPr>
          <w:p w14:paraId="17D0719E" w14:textId="77777777" w:rsidR="00A04766" w:rsidRPr="00A04766" w:rsidRDefault="00A04766" w:rsidP="00A04766">
            <w:r w:rsidRPr="00A04766">
              <w:t>Completed with (name and role)</w:t>
            </w:r>
          </w:p>
        </w:tc>
        <w:tc>
          <w:tcPr>
            <w:tcW w:w="1559" w:type="dxa"/>
          </w:tcPr>
          <w:p w14:paraId="32A3864D" w14:textId="77777777" w:rsidR="00A04766" w:rsidRPr="00A04766" w:rsidRDefault="00A04766" w:rsidP="00A04766">
            <w:r w:rsidRPr="00A04766">
              <w:t>Date</w:t>
            </w:r>
          </w:p>
        </w:tc>
        <w:tc>
          <w:tcPr>
            <w:tcW w:w="1567" w:type="dxa"/>
          </w:tcPr>
          <w:p w14:paraId="466411E3" w14:textId="77777777" w:rsidR="00A04766" w:rsidRPr="00A04766" w:rsidRDefault="00A04766" w:rsidP="00A04766">
            <w:r w:rsidRPr="00A04766">
              <w:t xml:space="preserve">Method </w:t>
            </w:r>
            <w:r w:rsidRPr="00A04766">
              <w:rPr>
                <w:sz w:val="16"/>
                <w:szCs w:val="16"/>
              </w:rPr>
              <w:t>e.g. by phone/face to face</w:t>
            </w:r>
          </w:p>
        </w:tc>
        <w:tc>
          <w:tcPr>
            <w:tcW w:w="2067" w:type="dxa"/>
          </w:tcPr>
          <w:p w14:paraId="080F0A1C" w14:textId="77777777" w:rsidR="00A04766" w:rsidRPr="00A04766" w:rsidRDefault="00A04766" w:rsidP="00A04766">
            <w:r w:rsidRPr="00A04766">
              <w:t xml:space="preserve">Where </w:t>
            </w:r>
            <w:r w:rsidRPr="00A04766">
              <w:rPr>
                <w:sz w:val="16"/>
                <w:szCs w:val="16"/>
              </w:rPr>
              <w:t>e.g. from home</w:t>
            </w:r>
          </w:p>
        </w:tc>
      </w:tr>
      <w:tr w:rsidR="00A04766" w:rsidRPr="00A04766" w14:paraId="04B48065" w14:textId="77777777" w:rsidTr="00AE33CF">
        <w:tc>
          <w:tcPr>
            <w:tcW w:w="3823" w:type="dxa"/>
          </w:tcPr>
          <w:p w14:paraId="55C864DD" w14:textId="77777777" w:rsidR="00A04766" w:rsidRPr="00A04766" w:rsidRDefault="00A04766" w:rsidP="00A04766"/>
        </w:tc>
        <w:tc>
          <w:tcPr>
            <w:tcW w:w="1559" w:type="dxa"/>
          </w:tcPr>
          <w:p w14:paraId="03D260E2" w14:textId="77777777" w:rsidR="00A04766" w:rsidRPr="00A04766" w:rsidRDefault="00A04766" w:rsidP="00A04766"/>
        </w:tc>
        <w:tc>
          <w:tcPr>
            <w:tcW w:w="1567" w:type="dxa"/>
          </w:tcPr>
          <w:p w14:paraId="38DB7579" w14:textId="77777777" w:rsidR="00A04766" w:rsidRPr="00A04766" w:rsidRDefault="00A04766" w:rsidP="00A04766"/>
        </w:tc>
        <w:tc>
          <w:tcPr>
            <w:tcW w:w="2067" w:type="dxa"/>
          </w:tcPr>
          <w:p w14:paraId="563685B6" w14:textId="77777777" w:rsidR="00A04766" w:rsidRPr="00A04766" w:rsidRDefault="00A04766" w:rsidP="00A04766"/>
        </w:tc>
      </w:tr>
      <w:tr w:rsidR="00A04766" w:rsidRPr="00A04766" w14:paraId="0B5A53B8" w14:textId="77777777" w:rsidTr="00AE33CF">
        <w:tc>
          <w:tcPr>
            <w:tcW w:w="9016" w:type="dxa"/>
            <w:gridSpan w:val="4"/>
          </w:tcPr>
          <w:p w14:paraId="1BAE5E0A" w14:textId="77777777" w:rsidR="00A04766" w:rsidRPr="00A04766" w:rsidRDefault="00A04766" w:rsidP="00A04766"/>
        </w:tc>
      </w:tr>
      <w:tr w:rsidR="00A04766" w:rsidRPr="00A04766" w14:paraId="77A467BA" w14:textId="77777777" w:rsidTr="00AE33CF">
        <w:tc>
          <w:tcPr>
            <w:tcW w:w="9016" w:type="dxa"/>
            <w:gridSpan w:val="4"/>
          </w:tcPr>
          <w:p w14:paraId="234A6228" w14:textId="57CF8827" w:rsidR="00A04766" w:rsidRPr="00A04766" w:rsidRDefault="00A04766" w:rsidP="00A04766">
            <w:r w:rsidRPr="00A04766">
              <w:t xml:space="preserve">Details of </w:t>
            </w:r>
            <w:r w:rsidR="00F9508D">
              <w:t xml:space="preserve">any </w:t>
            </w:r>
            <w:r w:rsidRPr="00A04766">
              <w:t>presenting concerns</w:t>
            </w:r>
            <w:r w:rsidR="00F9508D">
              <w:t xml:space="preserve"> (if appropriate), e.g. asthma, anxiety</w:t>
            </w:r>
            <w:r w:rsidRPr="00A04766">
              <w:t>:</w:t>
            </w:r>
          </w:p>
        </w:tc>
      </w:tr>
      <w:tr w:rsidR="00A04766" w:rsidRPr="00A04766" w14:paraId="3334BFFE" w14:textId="77777777" w:rsidTr="00AE33CF">
        <w:tc>
          <w:tcPr>
            <w:tcW w:w="9016" w:type="dxa"/>
            <w:gridSpan w:val="4"/>
          </w:tcPr>
          <w:p w14:paraId="792C4A8B" w14:textId="77777777" w:rsidR="00A04766" w:rsidRPr="00A04766" w:rsidRDefault="00A04766" w:rsidP="00A04766"/>
        </w:tc>
      </w:tr>
      <w:tr w:rsidR="00A04766" w:rsidRPr="00A04766" w14:paraId="2DC550BB" w14:textId="77777777" w:rsidTr="00AE33CF">
        <w:tc>
          <w:tcPr>
            <w:tcW w:w="9016" w:type="dxa"/>
            <w:gridSpan w:val="4"/>
          </w:tcPr>
          <w:p w14:paraId="09B632BE" w14:textId="77777777" w:rsidR="00A04766" w:rsidRPr="00A04766" w:rsidRDefault="00A04766" w:rsidP="00A04766"/>
        </w:tc>
      </w:tr>
      <w:tr w:rsidR="00A04766" w:rsidRPr="00A04766" w14:paraId="54F41DCB" w14:textId="77777777" w:rsidTr="00AE33CF">
        <w:tc>
          <w:tcPr>
            <w:tcW w:w="9016" w:type="dxa"/>
            <w:gridSpan w:val="4"/>
          </w:tcPr>
          <w:p w14:paraId="05B6E822" w14:textId="77777777" w:rsidR="00A04766" w:rsidRPr="00A04766" w:rsidRDefault="00A04766" w:rsidP="00A04766"/>
        </w:tc>
      </w:tr>
      <w:tr w:rsidR="00A04766" w:rsidRPr="00A04766" w14:paraId="2D1DA2B3" w14:textId="77777777" w:rsidTr="00AE33CF">
        <w:tc>
          <w:tcPr>
            <w:tcW w:w="3823" w:type="dxa"/>
          </w:tcPr>
          <w:p w14:paraId="3427CC7D" w14:textId="77777777" w:rsidR="00A04766" w:rsidRPr="00A04766" w:rsidRDefault="00A04766" w:rsidP="00A04766">
            <w:r w:rsidRPr="00A04766">
              <w:t>Risk identified</w:t>
            </w:r>
          </w:p>
        </w:tc>
        <w:tc>
          <w:tcPr>
            <w:tcW w:w="1559" w:type="dxa"/>
          </w:tcPr>
          <w:p w14:paraId="75DCA5C8" w14:textId="77777777" w:rsidR="00A04766" w:rsidRPr="00A04766" w:rsidRDefault="00A04766" w:rsidP="00A04766">
            <w:pPr>
              <w:rPr>
                <w:sz w:val="20"/>
                <w:szCs w:val="20"/>
              </w:rPr>
            </w:pPr>
            <w:r w:rsidRPr="00A04766">
              <w:rPr>
                <w:sz w:val="20"/>
                <w:szCs w:val="20"/>
              </w:rPr>
              <w:t>Level of risk</w:t>
            </w:r>
          </w:p>
        </w:tc>
        <w:tc>
          <w:tcPr>
            <w:tcW w:w="1567" w:type="dxa"/>
          </w:tcPr>
          <w:p w14:paraId="2CD0E9B6" w14:textId="77777777" w:rsidR="00A04766" w:rsidRPr="00A04766" w:rsidRDefault="00A04766" w:rsidP="00A04766">
            <w:pPr>
              <w:rPr>
                <w:sz w:val="20"/>
                <w:szCs w:val="20"/>
              </w:rPr>
            </w:pPr>
            <w:r w:rsidRPr="00A04766">
              <w:rPr>
                <w:sz w:val="20"/>
                <w:szCs w:val="20"/>
              </w:rPr>
              <w:t>Likelihood to occur</w:t>
            </w:r>
          </w:p>
        </w:tc>
        <w:tc>
          <w:tcPr>
            <w:tcW w:w="2067" w:type="dxa"/>
          </w:tcPr>
          <w:p w14:paraId="65A2AEED" w14:textId="77777777" w:rsidR="00A04766" w:rsidRPr="00A04766" w:rsidRDefault="00A04766" w:rsidP="00A04766">
            <w:pPr>
              <w:rPr>
                <w:sz w:val="20"/>
                <w:szCs w:val="20"/>
              </w:rPr>
            </w:pPr>
            <w:r w:rsidRPr="00A04766">
              <w:rPr>
                <w:sz w:val="20"/>
                <w:szCs w:val="20"/>
              </w:rPr>
              <w:t>Comments</w:t>
            </w:r>
          </w:p>
        </w:tc>
      </w:tr>
      <w:tr w:rsidR="00A04766" w:rsidRPr="00A04766" w14:paraId="0E33A6C4" w14:textId="77777777" w:rsidTr="00AE33CF">
        <w:tc>
          <w:tcPr>
            <w:tcW w:w="3823" w:type="dxa"/>
          </w:tcPr>
          <w:p w14:paraId="64F77661" w14:textId="77777777" w:rsidR="00A04766" w:rsidRPr="00A04766" w:rsidRDefault="00A04766" w:rsidP="00A04766"/>
        </w:tc>
        <w:tc>
          <w:tcPr>
            <w:tcW w:w="1559" w:type="dxa"/>
          </w:tcPr>
          <w:p w14:paraId="048560C7" w14:textId="77777777" w:rsidR="00A04766" w:rsidRPr="00A04766" w:rsidRDefault="00A04766" w:rsidP="00A04766"/>
        </w:tc>
        <w:tc>
          <w:tcPr>
            <w:tcW w:w="1567" w:type="dxa"/>
          </w:tcPr>
          <w:p w14:paraId="0BDE573C" w14:textId="77777777" w:rsidR="00A04766" w:rsidRPr="00A04766" w:rsidRDefault="00A04766" w:rsidP="00A04766"/>
        </w:tc>
        <w:tc>
          <w:tcPr>
            <w:tcW w:w="2067" w:type="dxa"/>
          </w:tcPr>
          <w:p w14:paraId="6BC56153" w14:textId="77777777" w:rsidR="00A04766" w:rsidRPr="00A04766" w:rsidRDefault="00A04766" w:rsidP="00A04766"/>
        </w:tc>
      </w:tr>
      <w:tr w:rsidR="00A04766" w:rsidRPr="00A04766" w14:paraId="6562F1C8" w14:textId="77777777" w:rsidTr="00AE33CF">
        <w:tc>
          <w:tcPr>
            <w:tcW w:w="3823" w:type="dxa"/>
          </w:tcPr>
          <w:p w14:paraId="6E91592F" w14:textId="77777777" w:rsidR="00A04766" w:rsidRPr="00A04766" w:rsidRDefault="00A04766" w:rsidP="00A04766"/>
        </w:tc>
        <w:tc>
          <w:tcPr>
            <w:tcW w:w="1559" w:type="dxa"/>
          </w:tcPr>
          <w:p w14:paraId="591751D0" w14:textId="77777777" w:rsidR="00A04766" w:rsidRPr="00A04766" w:rsidRDefault="00A04766" w:rsidP="00A04766"/>
        </w:tc>
        <w:tc>
          <w:tcPr>
            <w:tcW w:w="1567" w:type="dxa"/>
          </w:tcPr>
          <w:p w14:paraId="6EAA8E92" w14:textId="77777777" w:rsidR="00A04766" w:rsidRPr="00A04766" w:rsidRDefault="00A04766" w:rsidP="00A04766"/>
        </w:tc>
        <w:tc>
          <w:tcPr>
            <w:tcW w:w="2067" w:type="dxa"/>
          </w:tcPr>
          <w:p w14:paraId="202C7A77" w14:textId="77777777" w:rsidR="00A04766" w:rsidRPr="00A04766" w:rsidRDefault="00A04766" w:rsidP="00A04766"/>
        </w:tc>
      </w:tr>
      <w:tr w:rsidR="00A04766" w:rsidRPr="00A04766" w14:paraId="098BD9C2" w14:textId="77777777" w:rsidTr="00AE33CF">
        <w:tc>
          <w:tcPr>
            <w:tcW w:w="3823" w:type="dxa"/>
          </w:tcPr>
          <w:p w14:paraId="1FE27B98" w14:textId="77777777" w:rsidR="00A04766" w:rsidRPr="00A04766" w:rsidRDefault="00A04766" w:rsidP="00A04766"/>
        </w:tc>
        <w:tc>
          <w:tcPr>
            <w:tcW w:w="1559" w:type="dxa"/>
          </w:tcPr>
          <w:p w14:paraId="4EAC4C50" w14:textId="77777777" w:rsidR="00A04766" w:rsidRPr="00A04766" w:rsidRDefault="00A04766" w:rsidP="00A04766"/>
        </w:tc>
        <w:tc>
          <w:tcPr>
            <w:tcW w:w="1567" w:type="dxa"/>
          </w:tcPr>
          <w:p w14:paraId="42F86796" w14:textId="77777777" w:rsidR="00A04766" w:rsidRPr="00A04766" w:rsidRDefault="00A04766" w:rsidP="00A04766"/>
        </w:tc>
        <w:tc>
          <w:tcPr>
            <w:tcW w:w="2067" w:type="dxa"/>
          </w:tcPr>
          <w:p w14:paraId="4EAACD1E" w14:textId="77777777" w:rsidR="00A04766" w:rsidRPr="00A04766" w:rsidRDefault="00A04766" w:rsidP="00A04766"/>
        </w:tc>
      </w:tr>
      <w:tr w:rsidR="00A04766" w:rsidRPr="00A04766" w14:paraId="52E60592" w14:textId="77777777" w:rsidTr="00AE33CF">
        <w:tc>
          <w:tcPr>
            <w:tcW w:w="9016" w:type="dxa"/>
            <w:gridSpan w:val="4"/>
          </w:tcPr>
          <w:p w14:paraId="552DA37E" w14:textId="77777777" w:rsidR="00A04766" w:rsidRPr="00A04766" w:rsidRDefault="00A04766" w:rsidP="00A04766"/>
        </w:tc>
      </w:tr>
      <w:tr w:rsidR="00A04766" w:rsidRPr="00A04766" w14:paraId="647A30A7" w14:textId="77777777" w:rsidTr="00AE33CF">
        <w:tc>
          <w:tcPr>
            <w:tcW w:w="3823" w:type="dxa"/>
          </w:tcPr>
          <w:p w14:paraId="5D7081FC" w14:textId="77777777" w:rsidR="00A04766" w:rsidRPr="00A04766" w:rsidRDefault="00A04766" w:rsidP="00A04766">
            <w:r w:rsidRPr="00A04766">
              <w:t>Risk management Plan</w:t>
            </w:r>
          </w:p>
          <w:p w14:paraId="4037997B" w14:textId="77777777" w:rsidR="00A04766" w:rsidRPr="00A04766" w:rsidRDefault="00A04766" w:rsidP="00A04766">
            <w:pPr>
              <w:rPr>
                <w:sz w:val="18"/>
                <w:szCs w:val="18"/>
              </w:rPr>
            </w:pPr>
            <w:r w:rsidRPr="00A04766">
              <w:rPr>
                <w:sz w:val="18"/>
                <w:szCs w:val="18"/>
              </w:rPr>
              <w:t>List each measure that could reduce the risk</w:t>
            </w:r>
          </w:p>
        </w:tc>
        <w:tc>
          <w:tcPr>
            <w:tcW w:w="1559" w:type="dxa"/>
          </w:tcPr>
          <w:p w14:paraId="3007E3F8" w14:textId="77777777" w:rsidR="00A04766" w:rsidRPr="00A04766" w:rsidRDefault="00A04766" w:rsidP="00A04766">
            <w:pPr>
              <w:rPr>
                <w:sz w:val="20"/>
                <w:szCs w:val="20"/>
              </w:rPr>
            </w:pPr>
            <w:r w:rsidRPr="00A04766">
              <w:rPr>
                <w:sz w:val="20"/>
                <w:szCs w:val="20"/>
              </w:rPr>
              <w:t>Action by whom and by when</w:t>
            </w:r>
          </w:p>
        </w:tc>
        <w:tc>
          <w:tcPr>
            <w:tcW w:w="1567" w:type="dxa"/>
          </w:tcPr>
          <w:p w14:paraId="39C1643B" w14:textId="77777777" w:rsidR="00A04766" w:rsidRPr="00A04766" w:rsidRDefault="00A04766" w:rsidP="00A04766">
            <w:pPr>
              <w:rPr>
                <w:sz w:val="20"/>
                <w:szCs w:val="20"/>
              </w:rPr>
            </w:pPr>
            <w:r w:rsidRPr="00A04766">
              <w:rPr>
                <w:sz w:val="20"/>
                <w:szCs w:val="20"/>
              </w:rPr>
              <w:t>Action by when</w:t>
            </w:r>
          </w:p>
        </w:tc>
        <w:tc>
          <w:tcPr>
            <w:tcW w:w="2067" w:type="dxa"/>
          </w:tcPr>
          <w:p w14:paraId="4B2EFBAE" w14:textId="77777777" w:rsidR="00A04766" w:rsidRPr="00A04766" w:rsidRDefault="00A04766" w:rsidP="00A04766">
            <w:pPr>
              <w:rPr>
                <w:sz w:val="20"/>
                <w:szCs w:val="20"/>
              </w:rPr>
            </w:pPr>
            <w:r w:rsidRPr="00A04766">
              <w:rPr>
                <w:sz w:val="20"/>
                <w:szCs w:val="20"/>
              </w:rPr>
              <w:t>Review date</w:t>
            </w:r>
          </w:p>
        </w:tc>
      </w:tr>
      <w:tr w:rsidR="00A04766" w:rsidRPr="00A04766" w14:paraId="32B15876" w14:textId="77777777" w:rsidTr="00AE33CF">
        <w:tc>
          <w:tcPr>
            <w:tcW w:w="3823" w:type="dxa"/>
          </w:tcPr>
          <w:p w14:paraId="3EA96CD5" w14:textId="77777777" w:rsidR="00A04766" w:rsidRPr="00A04766" w:rsidRDefault="00A04766" w:rsidP="00A04766"/>
        </w:tc>
        <w:tc>
          <w:tcPr>
            <w:tcW w:w="1559" w:type="dxa"/>
          </w:tcPr>
          <w:p w14:paraId="04C0EC04" w14:textId="77777777" w:rsidR="00A04766" w:rsidRPr="00A04766" w:rsidRDefault="00A04766" w:rsidP="00A04766"/>
        </w:tc>
        <w:tc>
          <w:tcPr>
            <w:tcW w:w="1567" w:type="dxa"/>
          </w:tcPr>
          <w:p w14:paraId="782B179D" w14:textId="77777777" w:rsidR="00A04766" w:rsidRPr="00A04766" w:rsidRDefault="00A04766" w:rsidP="00A04766"/>
        </w:tc>
        <w:tc>
          <w:tcPr>
            <w:tcW w:w="2067" w:type="dxa"/>
          </w:tcPr>
          <w:p w14:paraId="2835CAC9" w14:textId="77777777" w:rsidR="00A04766" w:rsidRPr="00A04766" w:rsidRDefault="00A04766" w:rsidP="00A04766"/>
        </w:tc>
      </w:tr>
      <w:tr w:rsidR="00A04766" w:rsidRPr="00A04766" w14:paraId="1B0645AC" w14:textId="77777777" w:rsidTr="00AE33CF">
        <w:tc>
          <w:tcPr>
            <w:tcW w:w="3823" w:type="dxa"/>
          </w:tcPr>
          <w:p w14:paraId="589B7FBB" w14:textId="77777777" w:rsidR="00A04766" w:rsidRPr="00A04766" w:rsidRDefault="00A04766" w:rsidP="00A04766"/>
        </w:tc>
        <w:tc>
          <w:tcPr>
            <w:tcW w:w="1559" w:type="dxa"/>
          </w:tcPr>
          <w:p w14:paraId="6080131B" w14:textId="77777777" w:rsidR="00A04766" w:rsidRPr="00A04766" w:rsidRDefault="00A04766" w:rsidP="00A04766"/>
        </w:tc>
        <w:tc>
          <w:tcPr>
            <w:tcW w:w="1567" w:type="dxa"/>
          </w:tcPr>
          <w:p w14:paraId="2C69DB69" w14:textId="77777777" w:rsidR="00A04766" w:rsidRPr="00A04766" w:rsidRDefault="00A04766" w:rsidP="00A04766"/>
        </w:tc>
        <w:tc>
          <w:tcPr>
            <w:tcW w:w="2067" w:type="dxa"/>
          </w:tcPr>
          <w:p w14:paraId="7413147F" w14:textId="77777777" w:rsidR="00A04766" w:rsidRPr="00A04766" w:rsidRDefault="00A04766" w:rsidP="00A04766"/>
        </w:tc>
      </w:tr>
      <w:tr w:rsidR="00A04766" w:rsidRPr="00A04766" w14:paraId="5E16F19C" w14:textId="77777777" w:rsidTr="00AE33CF">
        <w:tc>
          <w:tcPr>
            <w:tcW w:w="3823" w:type="dxa"/>
          </w:tcPr>
          <w:p w14:paraId="5AABA2F0" w14:textId="77777777" w:rsidR="00A04766" w:rsidRPr="00A04766" w:rsidRDefault="00A04766" w:rsidP="00A04766"/>
        </w:tc>
        <w:tc>
          <w:tcPr>
            <w:tcW w:w="1559" w:type="dxa"/>
          </w:tcPr>
          <w:p w14:paraId="0596A7A9" w14:textId="77777777" w:rsidR="00A04766" w:rsidRPr="00A04766" w:rsidRDefault="00A04766" w:rsidP="00A04766"/>
        </w:tc>
        <w:tc>
          <w:tcPr>
            <w:tcW w:w="1567" w:type="dxa"/>
          </w:tcPr>
          <w:p w14:paraId="7FAAA308" w14:textId="77777777" w:rsidR="00A04766" w:rsidRPr="00A04766" w:rsidRDefault="00A04766" w:rsidP="00A04766"/>
        </w:tc>
        <w:tc>
          <w:tcPr>
            <w:tcW w:w="2067" w:type="dxa"/>
          </w:tcPr>
          <w:p w14:paraId="503D634A" w14:textId="77777777" w:rsidR="00A04766" w:rsidRPr="00A04766" w:rsidRDefault="00A04766" w:rsidP="00A04766"/>
        </w:tc>
      </w:tr>
      <w:tr w:rsidR="00A04766" w:rsidRPr="00A04766" w14:paraId="7B39ABB1" w14:textId="77777777" w:rsidTr="00AE33CF">
        <w:tc>
          <w:tcPr>
            <w:tcW w:w="9016" w:type="dxa"/>
            <w:gridSpan w:val="4"/>
          </w:tcPr>
          <w:p w14:paraId="313FE4CF" w14:textId="77777777" w:rsidR="00A04766" w:rsidRPr="00A04766" w:rsidRDefault="00A04766" w:rsidP="00A04766"/>
        </w:tc>
      </w:tr>
      <w:tr w:rsidR="00A04766" w:rsidRPr="00A04766" w14:paraId="777A6549" w14:textId="77777777" w:rsidTr="00AE33CF">
        <w:tc>
          <w:tcPr>
            <w:tcW w:w="3823" w:type="dxa"/>
          </w:tcPr>
          <w:p w14:paraId="6E7CA4FA" w14:textId="77777777" w:rsidR="00A04766" w:rsidRPr="00A04766" w:rsidRDefault="00A04766" w:rsidP="00A04766">
            <w:r w:rsidRPr="00A04766">
              <w:t>Team around you</w:t>
            </w:r>
          </w:p>
          <w:p w14:paraId="3ED1F871" w14:textId="77777777" w:rsidR="00A04766" w:rsidRPr="00A04766" w:rsidRDefault="00A04766" w:rsidP="00A04766">
            <w:pPr>
              <w:rPr>
                <w:sz w:val="18"/>
                <w:szCs w:val="18"/>
              </w:rPr>
            </w:pPr>
            <w:r w:rsidRPr="00A04766">
              <w:rPr>
                <w:sz w:val="18"/>
                <w:szCs w:val="18"/>
              </w:rPr>
              <w:t>People who can support you to reduce risk</w:t>
            </w:r>
          </w:p>
        </w:tc>
        <w:tc>
          <w:tcPr>
            <w:tcW w:w="1559" w:type="dxa"/>
          </w:tcPr>
          <w:p w14:paraId="1834D701" w14:textId="77777777" w:rsidR="00A04766" w:rsidRPr="00A04766" w:rsidRDefault="00A04766" w:rsidP="00A04766">
            <w:r w:rsidRPr="00A04766">
              <w:t>Role in school</w:t>
            </w:r>
          </w:p>
        </w:tc>
        <w:tc>
          <w:tcPr>
            <w:tcW w:w="1567" w:type="dxa"/>
          </w:tcPr>
          <w:p w14:paraId="3E28ED92" w14:textId="77777777" w:rsidR="00A04766" w:rsidRPr="00A04766" w:rsidRDefault="00A04766" w:rsidP="00A04766">
            <w:pPr>
              <w:rPr>
                <w:sz w:val="18"/>
                <w:szCs w:val="18"/>
              </w:rPr>
            </w:pPr>
            <w:r w:rsidRPr="00A04766">
              <w:rPr>
                <w:sz w:val="18"/>
                <w:szCs w:val="18"/>
              </w:rPr>
              <w:t>Forms of support which may be helpful</w:t>
            </w:r>
          </w:p>
        </w:tc>
        <w:tc>
          <w:tcPr>
            <w:tcW w:w="2067" w:type="dxa"/>
          </w:tcPr>
          <w:p w14:paraId="432EDA52" w14:textId="77777777" w:rsidR="00A04766" w:rsidRPr="00A04766" w:rsidRDefault="00A04766" w:rsidP="00A04766">
            <w:r w:rsidRPr="00A04766">
              <w:t>Review</w:t>
            </w:r>
          </w:p>
        </w:tc>
      </w:tr>
      <w:tr w:rsidR="00A04766" w:rsidRPr="00A04766" w14:paraId="03B666B5" w14:textId="77777777" w:rsidTr="00AE33CF">
        <w:tc>
          <w:tcPr>
            <w:tcW w:w="3823" w:type="dxa"/>
          </w:tcPr>
          <w:p w14:paraId="2D8C9822" w14:textId="77777777" w:rsidR="00A04766" w:rsidRPr="00A04766" w:rsidRDefault="00A04766" w:rsidP="00A04766"/>
        </w:tc>
        <w:tc>
          <w:tcPr>
            <w:tcW w:w="1559" w:type="dxa"/>
          </w:tcPr>
          <w:p w14:paraId="05B51883" w14:textId="77777777" w:rsidR="00A04766" w:rsidRPr="00A04766" w:rsidRDefault="00A04766" w:rsidP="00A04766"/>
        </w:tc>
        <w:tc>
          <w:tcPr>
            <w:tcW w:w="1567" w:type="dxa"/>
          </w:tcPr>
          <w:p w14:paraId="0F7A09FF" w14:textId="77777777" w:rsidR="00A04766" w:rsidRPr="00A04766" w:rsidRDefault="00A04766" w:rsidP="00A04766"/>
        </w:tc>
        <w:tc>
          <w:tcPr>
            <w:tcW w:w="2067" w:type="dxa"/>
          </w:tcPr>
          <w:p w14:paraId="57DE3C26" w14:textId="77777777" w:rsidR="00A04766" w:rsidRPr="00A04766" w:rsidRDefault="00A04766" w:rsidP="00A04766"/>
        </w:tc>
      </w:tr>
      <w:tr w:rsidR="00A04766" w:rsidRPr="00A04766" w14:paraId="04F8CCF5" w14:textId="77777777" w:rsidTr="00AE33CF">
        <w:tc>
          <w:tcPr>
            <w:tcW w:w="3823" w:type="dxa"/>
          </w:tcPr>
          <w:p w14:paraId="078EEC9F" w14:textId="77777777" w:rsidR="00A04766" w:rsidRPr="00A04766" w:rsidRDefault="00A04766" w:rsidP="00A04766"/>
        </w:tc>
        <w:tc>
          <w:tcPr>
            <w:tcW w:w="1559" w:type="dxa"/>
          </w:tcPr>
          <w:p w14:paraId="11185273" w14:textId="77777777" w:rsidR="00A04766" w:rsidRPr="00A04766" w:rsidRDefault="00A04766" w:rsidP="00A04766"/>
        </w:tc>
        <w:tc>
          <w:tcPr>
            <w:tcW w:w="1567" w:type="dxa"/>
          </w:tcPr>
          <w:p w14:paraId="6D1FD294" w14:textId="77777777" w:rsidR="00A04766" w:rsidRPr="00A04766" w:rsidRDefault="00A04766" w:rsidP="00A04766">
            <w:pPr>
              <w:rPr>
                <w:sz w:val="20"/>
                <w:szCs w:val="20"/>
              </w:rPr>
            </w:pPr>
          </w:p>
        </w:tc>
        <w:tc>
          <w:tcPr>
            <w:tcW w:w="2067" w:type="dxa"/>
          </w:tcPr>
          <w:p w14:paraId="78DE5892" w14:textId="77777777" w:rsidR="00A04766" w:rsidRPr="00A04766" w:rsidRDefault="00A04766" w:rsidP="00A04766"/>
        </w:tc>
      </w:tr>
      <w:tr w:rsidR="00A04766" w:rsidRPr="00A04766" w14:paraId="4288961E" w14:textId="77777777" w:rsidTr="00AE33CF">
        <w:tc>
          <w:tcPr>
            <w:tcW w:w="3823" w:type="dxa"/>
          </w:tcPr>
          <w:p w14:paraId="57DB867B" w14:textId="77777777" w:rsidR="00A04766" w:rsidRPr="00A04766" w:rsidRDefault="00A04766" w:rsidP="00A04766"/>
        </w:tc>
        <w:tc>
          <w:tcPr>
            <w:tcW w:w="1559" w:type="dxa"/>
          </w:tcPr>
          <w:p w14:paraId="1BC2EE5C" w14:textId="77777777" w:rsidR="00A04766" w:rsidRPr="00A04766" w:rsidRDefault="00A04766" w:rsidP="00A04766"/>
        </w:tc>
        <w:tc>
          <w:tcPr>
            <w:tcW w:w="1567" w:type="dxa"/>
          </w:tcPr>
          <w:p w14:paraId="203EF273" w14:textId="77777777" w:rsidR="00A04766" w:rsidRPr="00A04766" w:rsidRDefault="00A04766" w:rsidP="00A04766">
            <w:pPr>
              <w:rPr>
                <w:sz w:val="20"/>
                <w:szCs w:val="20"/>
              </w:rPr>
            </w:pPr>
          </w:p>
        </w:tc>
        <w:tc>
          <w:tcPr>
            <w:tcW w:w="2067" w:type="dxa"/>
          </w:tcPr>
          <w:p w14:paraId="29E7F401" w14:textId="77777777" w:rsidR="00A04766" w:rsidRPr="00A04766" w:rsidRDefault="00A04766" w:rsidP="00A04766"/>
        </w:tc>
      </w:tr>
      <w:tr w:rsidR="00A04766" w:rsidRPr="00A04766" w14:paraId="72B106BB" w14:textId="77777777" w:rsidTr="00AE33CF">
        <w:tc>
          <w:tcPr>
            <w:tcW w:w="3823" w:type="dxa"/>
          </w:tcPr>
          <w:p w14:paraId="0CF3C8E1" w14:textId="77777777" w:rsidR="00A04766" w:rsidRPr="00A04766" w:rsidRDefault="00A04766" w:rsidP="00A04766"/>
        </w:tc>
        <w:tc>
          <w:tcPr>
            <w:tcW w:w="1559" w:type="dxa"/>
          </w:tcPr>
          <w:p w14:paraId="7F6E1A41" w14:textId="77777777" w:rsidR="00A04766" w:rsidRPr="00A04766" w:rsidRDefault="00A04766" w:rsidP="00A04766"/>
        </w:tc>
        <w:tc>
          <w:tcPr>
            <w:tcW w:w="1567" w:type="dxa"/>
          </w:tcPr>
          <w:p w14:paraId="3DF22A7F" w14:textId="77777777" w:rsidR="00A04766" w:rsidRPr="00A04766" w:rsidRDefault="00A04766" w:rsidP="00A04766">
            <w:pPr>
              <w:rPr>
                <w:sz w:val="20"/>
                <w:szCs w:val="20"/>
              </w:rPr>
            </w:pPr>
          </w:p>
        </w:tc>
        <w:tc>
          <w:tcPr>
            <w:tcW w:w="2067" w:type="dxa"/>
          </w:tcPr>
          <w:p w14:paraId="0E551FC8" w14:textId="77777777" w:rsidR="00A04766" w:rsidRPr="00A04766" w:rsidRDefault="00A04766" w:rsidP="00A04766"/>
        </w:tc>
      </w:tr>
      <w:tr w:rsidR="00A04766" w:rsidRPr="00A04766" w14:paraId="3F02F337" w14:textId="77777777" w:rsidTr="00AE33CF">
        <w:tc>
          <w:tcPr>
            <w:tcW w:w="3823" w:type="dxa"/>
          </w:tcPr>
          <w:p w14:paraId="0C5C344A" w14:textId="77777777" w:rsidR="00A04766" w:rsidRPr="00A04766" w:rsidRDefault="00A04766" w:rsidP="00A04766"/>
        </w:tc>
        <w:tc>
          <w:tcPr>
            <w:tcW w:w="1559" w:type="dxa"/>
          </w:tcPr>
          <w:p w14:paraId="484EB434" w14:textId="77777777" w:rsidR="00A04766" w:rsidRPr="00A04766" w:rsidRDefault="00A04766" w:rsidP="00A04766"/>
        </w:tc>
        <w:tc>
          <w:tcPr>
            <w:tcW w:w="1567" w:type="dxa"/>
          </w:tcPr>
          <w:p w14:paraId="0E640702" w14:textId="77777777" w:rsidR="00A04766" w:rsidRPr="00A04766" w:rsidRDefault="00A04766" w:rsidP="00A04766">
            <w:pPr>
              <w:rPr>
                <w:sz w:val="20"/>
                <w:szCs w:val="20"/>
              </w:rPr>
            </w:pPr>
          </w:p>
        </w:tc>
        <w:tc>
          <w:tcPr>
            <w:tcW w:w="2067" w:type="dxa"/>
          </w:tcPr>
          <w:p w14:paraId="2E6DA295" w14:textId="77777777" w:rsidR="00A04766" w:rsidRPr="00A04766" w:rsidRDefault="00A04766" w:rsidP="00A04766"/>
        </w:tc>
      </w:tr>
      <w:tr w:rsidR="00A04766" w:rsidRPr="00A04766" w14:paraId="78EE1083" w14:textId="77777777" w:rsidTr="00AE33CF">
        <w:tc>
          <w:tcPr>
            <w:tcW w:w="3823" w:type="dxa"/>
          </w:tcPr>
          <w:p w14:paraId="6F394A96" w14:textId="77777777" w:rsidR="00A04766" w:rsidRPr="00A04766" w:rsidRDefault="00A04766" w:rsidP="00A04766"/>
        </w:tc>
        <w:tc>
          <w:tcPr>
            <w:tcW w:w="1559" w:type="dxa"/>
          </w:tcPr>
          <w:p w14:paraId="03EF52E2" w14:textId="77777777" w:rsidR="00A04766" w:rsidRPr="00A04766" w:rsidRDefault="00A04766" w:rsidP="00A04766"/>
        </w:tc>
        <w:tc>
          <w:tcPr>
            <w:tcW w:w="1567" w:type="dxa"/>
          </w:tcPr>
          <w:p w14:paraId="0F4B5B48" w14:textId="77777777" w:rsidR="00A04766" w:rsidRPr="00A04766" w:rsidRDefault="00A04766" w:rsidP="00A04766">
            <w:pPr>
              <w:rPr>
                <w:sz w:val="20"/>
                <w:szCs w:val="20"/>
              </w:rPr>
            </w:pPr>
          </w:p>
        </w:tc>
        <w:tc>
          <w:tcPr>
            <w:tcW w:w="2067" w:type="dxa"/>
          </w:tcPr>
          <w:p w14:paraId="58F98EF4" w14:textId="77777777" w:rsidR="00A04766" w:rsidRPr="00A04766" w:rsidRDefault="00A04766" w:rsidP="00A04766"/>
        </w:tc>
      </w:tr>
      <w:tr w:rsidR="00A04766" w:rsidRPr="00A04766" w14:paraId="70AF410C" w14:textId="77777777" w:rsidTr="00AE33CF">
        <w:tc>
          <w:tcPr>
            <w:tcW w:w="9016" w:type="dxa"/>
            <w:gridSpan w:val="4"/>
          </w:tcPr>
          <w:p w14:paraId="5FFC64AE" w14:textId="77777777" w:rsidR="00A04766" w:rsidRPr="00A04766" w:rsidRDefault="00A04766" w:rsidP="00A04766"/>
        </w:tc>
      </w:tr>
      <w:tr w:rsidR="00A04766" w:rsidRPr="00A04766" w14:paraId="2E286899" w14:textId="77777777" w:rsidTr="00AE33CF">
        <w:tc>
          <w:tcPr>
            <w:tcW w:w="5382" w:type="dxa"/>
            <w:gridSpan w:val="2"/>
          </w:tcPr>
          <w:p w14:paraId="0E5F6166" w14:textId="77777777" w:rsidR="00A04766" w:rsidRPr="00A04766" w:rsidRDefault="00A04766" w:rsidP="00A04766">
            <w:r w:rsidRPr="00A04766">
              <w:t xml:space="preserve">Signed </w:t>
            </w:r>
          </w:p>
        </w:tc>
        <w:tc>
          <w:tcPr>
            <w:tcW w:w="3634" w:type="dxa"/>
            <w:gridSpan w:val="2"/>
          </w:tcPr>
          <w:p w14:paraId="7C28393A" w14:textId="77777777" w:rsidR="00A04766" w:rsidRPr="00A04766" w:rsidRDefault="00A04766" w:rsidP="00A04766">
            <w:r w:rsidRPr="00A04766">
              <w:t>Date</w:t>
            </w:r>
          </w:p>
        </w:tc>
      </w:tr>
      <w:tr w:rsidR="00A04766" w:rsidRPr="00A04766" w14:paraId="235A7509" w14:textId="77777777" w:rsidTr="00AE33CF">
        <w:tc>
          <w:tcPr>
            <w:tcW w:w="5382" w:type="dxa"/>
            <w:gridSpan w:val="2"/>
          </w:tcPr>
          <w:p w14:paraId="5F41793E" w14:textId="77777777" w:rsidR="00A04766" w:rsidRPr="00A04766" w:rsidRDefault="00A04766" w:rsidP="00A04766">
            <w:r w:rsidRPr="00A04766">
              <w:t>Signed</w:t>
            </w:r>
          </w:p>
        </w:tc>
        <w:tc>
          <w:tcPr>
            <w:tcW w:w="3634" w:type="dxa"/>
            <w:gridSpan w:val="2"/>
          </w:tcPr>
          <w:p w14:paraId="6DD51A2F" w14:textId="77777777" w:rsidR="00A04766" w:rsidRPr="00A04766" w:rsidRDefault="00A04766" w:rsidP="00A04766">
            <w:r w:rsidRPr="00A04766">
              <w:t>Date</w:t>
            </w:r>
          </w:p>
        </w:tc>
      </w:tr>
    </w:tbl>
    <w:p w14:paraId="6048ACC4" w14:textId="77777777" w:rsidR="00A04766" w:rsidRPr="00A04766" w:rsidRDefault="00A04766" w:rsidP="00917079">
      <w:pPr>
        <w:ind w:left="360"/>
        <w:rPr>
          <w:b/>
          <w:sz w:val="28"/>
          <w:szCs w:val="28"/>
        </w:rPr>
      </w:pPr>
    </w:p>
    <w:sectPr w:rsidR="00A04766" w:rsidRPr="00A04766" w:rsidSect="00F9508D">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715"/>
    <w:multiLevelType w:val="hybridMultilevel"/>
    <w:tmpl w:val="76C00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27106A"/>
    <w:multiLevelType w:val="hybridMultilevel"/>
    <w:tmpl w:val="A736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57F6C"/>
    <w:multiLevelType w:val="hybridMultilevel"/>
    <w:tmpl w:val="68F03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8F5A17"/>
    <w:multiLevelType w:val="hybridMultilevel"/>
    <w:tmpl w:val="F7AC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7"/>
    <w:rsid w:val="001D48CE"/>
    <w:rsid w:val="00230A0E"/>
    <w:rsid w:val="004746FC"/>
    <w:rsid w:val="0051375A"/>
    <w:rsid w:val="005A2E7E"/>
    <w:rsid w:val="005E3675"/>
    <w:rsid w:val="007663BE"/>
    <w:rsid w:val="008F28F9"/>
    <w:rsid w:val="00904346"/>
    <w:rsid w:val="00917079"/>
    <w:rsid w:val="00A04766"/>
    <w:rsid w:val="00A46CFF"/>
    <w:rsid w:val="00AB2FD9"/>
    <w:rsid w:val="00AE4475"/>
    <w:rsid w:val="00B24FD9"/>
    <w:rsid w:val="00B36C52"/>
    <w:rsid w:val="00B50562"/>
    <w:rsid w:val="00B67499"/>
    <w:rsid w:val="00C40527"/>
    <w:rsid w:val="00DA610E"/>
    <w:rsid w:val="00DC20E9"/>
    <w:rsid w:val="00E23697"/>
    <w:rsid w:val="00E56AD6"/>
    <w:rsid w:val="00E7309E"/>
    <w:rsid w:val="00F4123E"/>
    <w:rsid w:val="00F9508D"/>
    <w:rsid w:val="00FD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A619"/>
  <w15:chartTrackingRefBased/>
  <w15:docId w15:val="{8C118F30-3418-4338-BFB3-ABC8EAAB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79"/>
    <w:pPr>
      <w:ind w:left="720"/>
      <w:contextualSpacing/>
    </w:pPr>
  </w:style>
  <w:style w:type="table" w:styleId="TableGrid">
    <w:name w:val="Table Grid"/>
    <w:basedOn w:val="TableNormal"/>
    <w:uiPriority w:val="59"/>
    <w:rsid w:val="00FD772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FD9"/>
    <w:rPr>
      <w:color w:val="0563C1" w:themeColor="hyperlink"/>
      <w:u w:val="single"/>
    </w:rPr>
  </w:style>
  <w:style w:type="table" w:customStyle="1" w:styleId="TableGrid1">
    <w:name w:val="Table Grid1"/>
    <w:basedOn w:val="TableNormal"/>
    <w:next w:val="TableGrid"/>
    <w:uiPriority w:val="39"/>
    <w:rsid w:val="00A0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6FC"/>
    <w:rPr>
      <w:sz w:val="16"/>
      <w:szCs w:val="16"/>
    </w:rPr>
  </w:style>
  <w:style w:type="paragraph" w:styleId="CommentText">
    <w:name w:val="annotation text"/>
    <w:basedOn w:val="Normal"/>
    <w:link w:val="CommentTextChar"/>
    <w:uiPriority w:val="99"/>
    <w:semiHidden/>
    <w:unhideWhenUsed/>
    <w:rsid w:val="004746FC"/>
    <w:pPr>
      <w:spacing w:line="240" w:lineRule="auto"/>
    </w:pPr>
    <w:rPr>
      <w:sz w:val="20"/>
      <w:szCs w:val="20"/>
    </w:rPr>
  </w:style>
  <w:style w:type="character" w:customStyle="1" w:styleId="CommentTextChar">
    <w:name w:val="Comment Text Char"/>
    <w:basedOn w:val="DefaultParagraphFont"/>
    <w:link w:val="CommentText"/>
    <w:uiPriority w:val="99"/>
    <w:semiHidden/>
    <w:rsid w:val="004746FC"/>
    <w:rPr>
      <w:sz w:val="20"/>
      <w:szCs w:val="20"/>
    </w:rPr>
  </w:style>
  <w:style w:type="paragraph" w:styleId="CommentSubject">
    <w:name w:val="annotation subject"/>
    <w:basedOn w:val="CommentText"/>
    <w:next w:val="CommentText"/>
    <w:link w:val="CommentSubjectChar"/>
    <w:uiPriority w:val="99"/>
    <w:semiHidden/>
    <w:unhideWhenUsed/>
    <w:rsid w:val="004746FC"/>
    <w:rPr>
      <w:b/>
      <w:bCs/>
    </w:rPr>
  </w:style>
  <w:style w:type="character" w:customStyle="1" w:styleId="CommentSubjectChar">
    <w:name w:val="Comment Subject Char"/>
    <w:basedOn w:val="CommentTextChar"/>
    <w:link w:val="CommentSubject"/>
    <w:uiPriority w:val="99"/>
    <w:semiHidden/>
    <w:rsid w:val="004746FC"/>
    <w:rPr>
      <w:b/>
      <w:bCs/>
      <w:sz w:val="20"/>
      <w:szCs w:val="20"/>
    </w:rPr>
  </w:style>
  <w:style w:type="paragraph" w:styleId="BalloonText">
    <w:name w:val="Balloon Text"/>
    <w:basedOn w:val="Normal"/>
    <w:link w:val="BalloonTextChar"/>
    <w:uiPriority w:val="99"/>
    <w:semiHidden/>
    <w:unhideWhenUsed/>
    <w:rsid w:val="00474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greer@cherbourg.hants.sch.uk" TargetMode="External"/><Relationship Id="rId3" Type="http://schemas.openxmlformats.org/officeDocument/2006/relationships/styles" Target="styles.xml"/><Relationship Id="rId7" Type="http://schemas.openxmlformats.org/officeDocument/2006/relationships/hyperlink" Target="mailto:Caroline.Daly@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aget.Mulholland@ascl.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7831-D978-44FC-8656-0F462A6B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Geer</dc:creator>
  <cp:keywords/>
  <dc:description/>
  <cp:lastModifiedBy>Max Fincher</cp:lastModifiedBy>
  <cp:revision>2</cp:revision>
  <dcterms:created xsi:type="dcterms:W3CDTF">2020-06-29T10:37:00Z</dcterms:created>
  <dcterms:modified xsi:type="dcterms:W3CDTF">2020-06-29T10:37:00Z</dcterms:modified>
</cp:coreProperties>
</file>