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bookmarkStart w:id="0" w:name="_GoBack"/>
                            <w:bookmarkEnd w:id="0"/>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946BDD" w:rsidRDefault="00E7510C" w:rsidP="00B6401E">
      <w:pPr>
        <w:jc w:val="center"/>
        <w:rPr>
          <w:rFonts w:ascii="Arial" w:hAnsi="Arial"/>
          <w:sz w:val="20"/>
        </w:rPr>
      </w:pPr>
    </w:p>
    <w:p w:rsidR="00E7510C" w:rsidRPr="00F5610C" w:rsidRDefault="000C2F61" w:rsidP="00C81D4A">
      <w:pPr>
        <w:jc w:val="center"/>
        <w:rPr>
          <w:rFonts w:ascii="Arial" w:hAnsi="Arial"/>
          <w:b/>
          <w:szCs w:val="22"/>
        </w:rPr>
      </w:pPr>
      <w:r w:rsidRPr="00F5610C">
        <w:rPr>
          <w:rFonts w:ascii="Arial" w:hAnsi="Arial"/>
          <w:b/>
          <w:szCs w:val="22"/>
        </w:rPr>
        <w:t xml:space="preserve">Note of the meeting of the </w:t>
      </w:r>
      <w:r w:rsidR="00837D18" w:rsidRPr="00F5610C">
        <w:rPr>
          <w:rFonts w:ascii="Arial" w:hAnsi="Arial"/>
          <w:b/>
          <w:szCs w:val="22"/>
        </w:rPr>
        <w:t>UCET</w:t>
      </w:r>
      <w:r w:rsidR="00B90731" w:rsidRPr="00F5610C">
        <w:rPr>
          <w:rFonts w:ascii="Arial" w:hAnsi="Arial"/>
          <w:b/>
          <w:szCs w:val="22"/>
        </w:rPr>
        <w:t xml:space="preserve"> Post 16 </w:t>
      </w:r>
      <w:r w:rsidR="00813513" w:rsidRPr="00F5610C">
        <w:rPr>
          <w:rFonts w:ascii="Arial" w:hAnsi="Arial"/>
          <w:b/>
          <w:szCs w:val="22"/>
        </w:rPr>
        <w:t>f</w:t>
      </w:r>
      <w:r w:rsidR="0095198B" w:rsidRPr="00F5610C">
        <w:rPr>
          <w:rFonts w:ascii="Arial" w:hAnsi="Arial"/>
          <w:b/>
          <w:szCs w:val="22"/>
        </w:rPr>
        <w:t>orum</w:t>
      </w:r>
      <w:r w:rsidRPr="00F5610C">
        <w:rPr>
          <w:rFonts w:ascii="Arial" w:hAnsi="Arial"/>
          <w:b/>
          <w:szCs w:val="22"/>
        </w:rPr>
        <w:t xml:space="preserve"> held on </w:t>
      </w:r>
      <w:r w:rsidR="006F1F61">
        <w:rPr>
          <w:rFonts w:ascii="Arial" w:hAnsi="Arial"/>
          <w:b/>
          <w:szCs w:val="22"/>
        </w:rPr>
        <w:t>7 February 2020</w:t>
      </w:r>
      <w:r w:rsidR="00473C5F" w:rsidRPr="00F5610C">
        <w:rPr>
          <w:rFonts w:ascii="Arial" w:hAnsi="Arial"/>
          <w:b/>
          <w:szCs w:val="22"/>
        </w:rPr>
        <w:t xml:space="preserve"> a</w:t>
      </w:r>
      <w:r w:rsidRPr="00F5610C">
        <w:rPr>
          <w:rFonts w:ascii="Arial" w:hAnsi="Arial"/>
          <w:b/>
          <w:szCs w:val="22"/>
        </w:rPr>
        <w:t xml:space="preserve">t </w:t>
      </w:r>
      <w:r w:rsidR="00DF458F" w:rsidRPr="00F5610C">
        <w:rPr>
          <w:rFonts w:ascii="Arial" w:hAnsi="Arial"/>
          <w:b/>
          <w:szCs w:val="22"/>
        </w:rPr>
        <w:t>Mary Sumner H</w:t>
      </w:r>
      <w:r w:rsidR="006920D4" w:rsidRPr="00F5610C">
        <w:rPr>
          <w:rFonts w:ascii="Arial" w:hAnsi="Arial"/>
          <w:b/>
          <w:szCs w:val="22"/>
        </w:rPr>
        <w:t xml:space="preserve">ouse, </w:t>
      </w:r>
      <w:r w:rsidR="00DF458F" w:rsidRPr="00F5610C">
        <w:rPr>
          <w:rFonts w:ascii="Arial" w:hAnsi="Arial"/>
          <w:b/>
          <w:szCs w:val="22"/>
        </w:rPr>
        <w:t xml:space="preserve">24 </w:t>
      </w:r>
      <w:r w:rsidR="006920D4" w:rsidRPr="00F5610C">
        <w:rPr>
          <w:rFonts w:ascii="Arial" w:hAnsi="Arial"/>
          <w:b/>
          <w:szCs w:val="22"/>
        </w:rPr>
        <w:t xml:space="preserve">Tufton Street, London </w:t>
      </w:r>
      <w:r w:rsidR="006920D4" w:rsidRPr="00F5610C">
        <w:rPr>
          <w:rFonts w:ascii="Arial" w:hAnsi="Arial"/>
          <w:b/>
          <w:szCs w:val="22"/>
          <w:shd w:val="clear" w:color="auto" w:fill="FFFFFF"/>
        </w:rPr>
        <w:t>SW1P 3RB</w:t>
      </w:r>
    </w:p>
    <w:p w:rsidR="00E7510C" w:rsidRPr="00F5610C" w:rsidRDefault="00E7510C" w:rsidP="00B6401E">
      <w:pPr>
        <w:jc w:val="center"/>
        <w:rPr>
          <w:rFonts w:ascii="Arial" w:hAnsi="Arial"/>
          <w:b/>
          <w:szCs w:val="22"/>
        </w:rPr>
      </w:pPr>
    </w:p>
    <w:p w:rsidR="00E7510C" w:rsidRPr="00F5610C" w:rsidRDefault="00E7510C" w:rsidP="009B03AA">
      <w:pPr>
        <w:rPr>
          <w:rFonts w:ascii="Arial" w:hAnsi="Arial"/>
          <w:b/>
          <w:szCs w:val="22"/>
        </w:rPr>
      </w:pPr>
    </w:p>
    <w:p w:rsidR="000C2F61" w:rsidRPr="00F5610C" w:rsidRDefault="000C2F61" w:rsidP="000C2F61">
      <w:pPr>
        <w:rPr>
          <w:rFonts w:ascii="Arial" w:hAnsi="Arial"/>
          <w:b/>
          <w:szCs w:val="22"/>
        </w:rPr>
      </w:pPr>
      <w:r w:rsidRPr="00F5610C">
        <w:rPr>
          <w:rFonts w:ascii="Arial" w:hAnsi="Arial"/>
          <w:b/>
          <w:szCs w:val="22"/>
        </w:rPr>
        <w:t>Welcome &amp; introductions</w:t>
      </w:r>
    </w:p>
    <w:p w:rsidR="000C2F61" w:rsidRPr="00F5610C" w:rsidRDefault="000C2F61" w:rsidP="000C2F61">
      <w:pPr>
        <w:ind w:left="567"/>
        <w:rPr>
          <w:rFonts w:ascii="Arial" w:hAnsi="Arial"/>
          <w:szCs w:val="22"/>
        </w:rPr>
      </w:pPr>
    </w:p>
    <w:p w:rsidR="000C2F61" w:rsidRPr="00F5610C" w:rsidRDefault="000C2F61" w:rsidP="000C2F61">
      <w:pPr>
        <w:rPr>
          <w:rFonts w:ascii="Arial" w:hAnsi="Arial"/>
          <w:szCs w:val="22"/>
        </w:rPr>
      </w:pPr>
      <w:r w:rsidRPr="00F5610C">
        <w:rPr>
          <w:rFonts w:ascii="Arial" w:hAnsi="Arial"/>
          <w:szCs w:val="22"/>
        </w:rPr>
        <w:t>Members</w:t>
      </w:r>
      <w:r w:rsidR="00473C5F" w:rsidRPr="00F5610C">
        <w:rPr>
          <w:rFonts w:ascii="Arial" w:hAnsi="Arial"/>
          <w:szCs w:val="22"/>
        </w:rPr>
        <w:t xml:space="preserve"> </w:t>
      </w:r>
      <w:r w:rsidRPr="00F5610C">
        <w:rPr>
          <w:rFonts w:ascii="Arial" w:hAnsi="Arial"/>
          <w:szCs w:val="22"/>
        </w:rPr>
        <w:t xml:space="preserve">were welcomed to the </w:t>
      </w:r>
      <w:r w:rsidR="00972A1E">
        <w:rPr>
          <w:rFonts w:ascii="Arial" w:hAnsi="Arial"/>
          <w:szCs w:val="22"/>
        </w:rPr>
        <w:t xml:space="preserve">second </w:t>
      </w:r>
      <w:r w:rsidRPr="00F5610C">
        <w:rPr>
          <w:rFonts w:ascii="Arial" w:hAnsi="Arial"/>
          <w:szCs w:val="22"/>
        </w:rPr>
        <w:t xml:space="preserve">Post 16 forum of the 2019/20 academic year. </w:t>
      </w:r>
      <w:r w:rsidR="00473C5F" w:rsidRPr="00F5610C">
        <w:rPr>
          <w:rFonts w:ascii="Arial" w:hAnsi="Arial"/>
          <w:szCs w:val="22"/>
        </w:rPr>
        <w:t>T</w:t>
      </w:r>
      <w:r w:rsidRPr="00F5610C">
        <w:rPr>
          <w:rFonts w:ascii="Arial" w:hAnsi="Arial"/>
          <w:szCs w:val="22"/>
        </w:rPr>
        <w:t xml:space="preserve">he minutes of the meeting held on </w:t>
      </w:r>
      <w:r w:rsidR="00972A1E">
        <w:rPr>
          <w:rFonts w:ascii="Arial" w:hAnsi="Arial"/>
          <w:szCs w:val="22"/>
        </w:rPr>
        <w:t xml:space="preserve">18 October </w:t>
      </w:r>
      <w:r w:rsidRPr="00F5610C">
        <w:rPr>
          <w:rFonts w:ascii="Arial" w:hAnsi="Arial"/>
          <w:szCs w:val="22"/>
        </w:rPr>
        <w:t>were agreed.</w:t>
      </w:r>
      <w:r w:rsidR="00972A1E">
        <w:rPr>
          <w:rFonts w:ascii="Arial" w:hAnsi="Arial"/>
          <w:szCs w:val="22"/>
        </w:rPr>
        <w:t xml:space="preserve"> On matters arising, information was provided by forum colleagues about publication opportunities.  </w:t>
      </w:r>
    </w:p>
    <w:p w:rsidR="000C2F61" w:rsidRPr="00F5610C" w:rsidRDefault="000C2F61" w:rsidP="000C2F61">
      <w:pPr>
        <w:rPr>
          <w:rFonts w:ascii="Arial" w:hAnsi="Arial"/>
          <w:b/>
          <w:szCs w:val="22"/>
        </w:rPr>
      </w:pPr>
    </w:p>
    <w:p w:rsidR="000C2F61" w:rsidRPr="00F5610C" w:rsidRDefault="000C2F61" w:rsidP="000C2F61">
      <w:pPr>
        <w:rPr>
          <w:rFonts w:ascii="Arial" w:hAnsi="Arial"/>
          <w:szCs w:val="22"/>
        </w:rPr>
      </w:pPr>
      <w:r w:rsidRPr="00F5610C">
        <w:rPr>
          <w:rFonts w:ascii="Arial" w:hAnsi="Arial"/>
          <w:b/>
          <w:szCs w:val="22"/>
        </w:rPr>
        <w:t>Discussions</w:t>
      </w:r>
    </w:p>
    <w:p w:rsidR="000C2F61" w:rsidRPr="00F5610C" w:rsidRDefault="000C2F61" w:rsidP="000C2F61">
      <w:pPr>
        <w:rPr>
          <w:rFonts w:ascii="Arial" w:hAnsi="Arial"/>
          <w:szCs w:val="22"/>
        </w:rPr>
      </w:pPr>
    </w:p>
    <w:p w:rsidR="000C2F61" w:rsidRDefault="000C2F61" w:rsidP="000C2F61">
      <w:pPr>
        <w:pStyle w:val="ListParagraph"/>
        <w:ind w:left="-54"/>
        <w:rPr>
          <w:rFonts w:ascii="Arial" w:hAnsi="Arial"/>
        </w:rPr>
      </w:pPr>
      <w:r w:rsidRPr="00F5610C">
        <w:rPr>
          <w:rFonts w:ascii="Arial" w:hAnsi="Arial"/>
        </w:rPr>
        <w:t xml:space="preserve">Forum members </w:t>
      </w:r>
      <w:r w:rsidR="009B03AA" w:rsidRPr="00F5610C">
        <w:rPr>
          <w:rFonts w:ascii="Arial" w:hAnsi="Arial"/>
        </w:rPr>
        <w:t xml:space="preserve">discussed a range of issues based around the meeting agenda. These included: </w:t>
      </w:r>
    </w:p>
    <w:p w:rsidR="00972A1E" w:rsidRDefault="00972A1E" w:rsidP="000C2F61">
      <w:pPr>
        <w:pStyle w:val="ListParagraph"/>
        <w:ind w:left="-54"/>
        <w:rPr>
          <w:rFonts w:ascii="Arial" w:hAnsi="Arial"/>
        </w:rPr>
      </w:pPr>
    </w:p>
    <w:p w:rsidR="00972A1E" w:rsidRDefault="00972A1E" w:rsidP="00972A1E">
      <w:pPr>
        <w:pStyle w:val="ListParagraph"/>
        <w:numPr>
          <w:ilvl w:val="0"/>
          <w:numId w:val="40"/>
        </w:numPr>
        <w:rPr>
          <w:rFonts w:ascii="Arial" w:hAnsi="Arial"/>
        </w:rPr>
      </w:pPr>
      <w:r>
        <w:rPr>
          <w:rFonts w:ascii="Arial" w:hAnsi="Arial"/>
        </w:rPr>
        <w:t xml:space="preserve">UCET updates on non-Post 16 related issues, including: the ITE content framework; the ECF; NPQs for school-teachers; feedback from the 2019 UCET conference; and developments in Wales and Northern Ireland. </w:t>
      </w:r>
    </w:p>
    <w:p w:rsidR="00972A1E" w:rsidRDefault="00972A1E" w:rsidP="00972A1E">
      <w:pPr>
        <w:pStyle w:val="ListParagraph"/>
        <w:numPr>
          <w:ilvl w:val="0"/>
          <w:numId w:val="40"/>
        </w:numPr>
        <w:rPr>
          <w:rFonts w:ascii="Arial" w:hAnsi="Arial"/>
        </w:rPr>
      </w:pPr>
      <w:r>
        <w:rPr>
          <w:rFonts w:ascii="Arial" w:hAnsi="Arial"/>
        </w:rPr>
        <w:t xml:space="preserve">The Society for Education and Training (SET), with a presentation on recent developments from Martin Reid </w:t>
      </w:r>
      <w:r w:rsidR="00F43BD5">
        <w:rPr>
          <w:rFonts w:ascii="Arial" w:hAnsi="Arial"/>
        </w:rPr>
        <w:t xml:space="preserve">from </w:t>
      </w:r>
      <w:r>
        <w:rPr>
          <w:rFonts w:ascii="Arial" w:hAnsi="Arial"/>
        </w:rPr>
        <w:t xml:space="preserve">ETF, covering: the progression </w:t>
      </w:r>
      <w:r w:rsidR="00F43BD5">
        <w:rPr>
          <w:rFonts w:ascii="Arial" w:hAnsi="Arial"/>
        </w:rPr>
        <w:t xml:space="preserve">of teachers </w:t>
      </w:r>
      <w:r>
        <w:rPr>
          <w:rFonts w:ascii="Arial" w:hAnsi="Arial"/>
        </w:rPr>
        <w:t>from ITE, to QTLS and to ATLS</w:t>
      </w:r>
      <w:r w:rsidR="002216A2">
        <w:rPr>
          <w:rFonts w:ascii="Arial" w:hAnsi="Arial"/>
        </w:rPr>
        <w:t>;</w:t>
      </w:r>
      <w:r w:rsidR="00F43BD5">
        <w:rPr>
          <w:rFonts w:ascii="Arial" w:hAnsi="Arial"/>
        </w:rPr>
        <w:t xml:space="preserve"> the scope for HEIs to access on-line </w:t>
      </w:r>
      <w:r w:rsidR="002216A2">
        <w:rPr>
          <w:rFonts w:ascii="Arial" w:hAnsi="Arial"/>
        </w:rPr>
        <w:t xml:space="preserve">SET </w:t>
      </w:r>
      <w:r w:rsidR="00F43BD5">
        <w:rPr>
          <w:rFonts w:ascii="Arial" w:hAnsi="Arial"/>
        </w:rPr>
        <w:t xml:space="preserve">materials; the potential role of HEIs </w:t>
      </w:r>
      <w:r w:rsidR="002216A2">
        <w:rPr>
          <w:rFonts w:ascii="Arial" w:hAnsi="Arial"/>
        </w:rPr>
        <w:t>i</w:t>
      </w:r>
      <w:r w:rsidR="00F43BD5">
        <w:rPr>
          <w:rFonts w:ascii="Arial" w:hAnsi="Arial"/>
        </w:rPr>
        <w:t xml:space="preserve">n delivering QTLS programmes following immediately on from ITE; the current number of 20,000 SET members, with membership remaining free for student teachers; the ETF offer to visit providers to talk to students about SET membership; and the </w:t>
      </w:r>
      <w:r w:rsidR="002216A2">
        <w:rPr>
          <w:rFonts w:ascii="Arial" w:hAnsi="Arial"/>
        </w:rPr>
        <w:t xml:space="preserve">suggestion of </w:t>
      </w:r>
      <w:r w:rsidR="00F43BD5">
        <w:rPr>
          <w:rFonts w:ascii="Arial" w:hAnsi="Arial"/>
        </w:rPr>
        <w:t>recruit</w:t>
      </w:r>
      <w:r w:rsidR="002216A2">
        <w:rPr>
          <w:rFonts w:ascii="Arial" w:hAnsi="Arial"/>
        </w:rPr>
        <w:t>ing</w:t>
      </w:r>
      <w:r w:rsidR="00F43BD5">
        <w:rPr>
          <w:rFonts w:ascii="Arial" w:hAnsi="Arial"/>
        </w:rPr>
        <w:t xml:space="preserve"> SET ambassadors with HEIs</w:t>
      </w:r>
      <w:r w:rsidR="002216A2">
        <w:rPr>
          <w:rFonts w:ascii="Arial" w:hAnsi="Arial"/>
        </w:rPr>
        <w:t>.</w:t>
      </w:r>
    </w:p>
    <w:p w:rsidR="00F43BD5" w:rsidRDefault="00F43BD5" w:rsidP="00972A1E">
      <w:pPr>
        <w:pStyle w:val="ListParagraph"/>
        <w:numPr>
          <w:ilvl w:val="0"/>
          <w:numId w:val="40"/>
        </w:numPr>
        <w:rPr>
          <w:rFonts w:ascii="Arial" w:hAnsi="Arial"/>
        </w:rPr>
      </w:pPr>
      <w:r>
        <w:rPr>
          <w:rFonts w:ascii="Arial" w:hAnsi="Arial"/>
        </w:rPr>
        <w:t>An update from the Education &amp; Training Foundation’s Howard Pilot</w:t>
      </w:r>
      <w:r w:rsidR="002216A2">
        <w:rPr>
          <w:rFonts w:ascii="Arial" w:hAnsi="Arial"/>
        </w:rPr>
        <w:t xml:space="preserve"> covering</w:t>
      </w:r>
      <w:r>
        <w:rPr>
          <w:rFonts w:ascii="Arial" w:hAnsi="Arial"/>
        </w:rPr>
        <w:t>: the implications of qualification reviews for ITE programmes; the DET review, where significant changes were still thought to be unlikely; the Talent to Teach programme, with funding for 450 participants confirmed for next year; private providers misleadingly claiming to offer DE</w:t>
      </w:r>
      <w:r w:rsidR="002216A2">
        <w:rPr>
          <w:rFonts w:ascii="Arial" w:hAnsi="Arial"/>
        </w:rPr>
        <w:t>T</w:t>
      </w:r>
      <w:r>
        <w:rPr>
          <w:rFonts w:ascii="Arial" w:hAnsi="Arial"/>
        </w:rPr>
        <w:t xml:space="preserve"> compliant qualifications; the Train the Teacher Trainers initiative, with materials available on-line; T level professional development packages; and </w:t>
      </w:r>
      <w:r w:rsidR="002216A2">
        <w:rPr>
          <w:rFonts w:ascii="Arial" w:hAnsi="Arial"/>
        </w:rPr>
        <w:t xml:space="preserve">the consideration of </w:t>
      </w:r>
      <w:r>
        <w:rPr>
          <w:rFonts w:ascii="Arial" w:hAnsi="Arial"/>
        </w:rPr>
        <w:t>new in</w:t>
      </w:r>
      <w:r w:rsidR="00DB5F3C">
        <w:rPr>
          <w:rFonts w:ascii="Arial" w:hAnsi="Arial"/>
        </w:rPr>
        <w:t>itiatives</w:t>
      </w:r>
      <w:r>
        <w:rPr>
          <w:rFonts w:ascii="Arial" w:hAnsi="Arial"/>
        </w:rPr>
        <w:t xml:space="preserve"> covering mentor support; mentor training; creativity in ITE and retention. </w:t>
      </w:r>
    </w:p>
    <w:p w:rsidR="00DB5F3C" w:rsidRDefault="00DB5F3C" w:rsidP="00972A1E">
      <w:pPr>
        <w:pStyle w:val="ListParagraph"/>
        <w:numPr>
          <w:ilvl w:val="0"/>
          <w:numId w:val="40"/>
        </w:numPr>
        <w:rPr>
          <w:rFonts w:ascii="Arial" w:hAnsi="Arial"/>
        </w:rPr>
      </w:pPr>
      <w:r>
        <w:rPr>
          <w:rFonts w:ascii="Arial" w:hAnsi="Arial"/>
        </w:rPr>
        <w:t xml:space="preserve">The morning symposium on the draft OfSTED ITE inspection framework (summary of points made at Annex A) and an agreement that the next morning symposium would be on mentoring. </w:t>
      </w:r>
    </w:p>
    <w:p w:rsidR="0037440E" w:rsidRDefault="0037440E" w:rsidP="00972A1E">
      <w:pPr>
        <w:pStyle w:val="ListParagraph"/>
        <w:numPr>
          <w:ilvl w:val="0"/>
          <w:numId w:val="40"/>
        </w:numPr>
        <w:rPr>
          <w:rFonts w:ascii="Arial" w:hAnsi="Arial"/>
        </w:rPr>
      </w:pPr>
      <w:r>
        <w:rPr>
          <w:rFonts w:ascii="Arial" w:hAnsi="Arial"/>
        </w:rPr>
        <w:t xml:space="preserve">Recruitment to ITE, with a mixed picture </w:t>
      </w:r>
      <w:r w:rsidR="002216A2">
        <w:rPr>
          <w:rFonts w:ascii="Arial" w:hAnsi="Arial"/>
        </w:rPr>
        <w:t xml:space="preserve">of recruitment </w:t>
      </w:r>
      <w:r>
        <w:rPr>
          <w:rFonts w:ascii="Arial" w:hAnsi="Arial"/>
        </w:rPr>
        <w:t xml:space="preserve">across different providers, but with confirmation that the withdrawal of bursaries for 2019/20 had had a negative impact and an expectation that their reintroduction for 2020/21 would have the opposite effect. </w:t>
      </w:r>
    </w:p>
    <w:p w:rsidR="0037440E" w:rsidRDefault="0037440E" w:rsidP="00972A1E">
      <w:pPr>
        <w:pStyle w:val="ListParagraph"/>
        <w:numPr>
          <w:ilvl w:val="0"/>
          <w:numId w:val="40"/>
        </w:numPr>
        <w:rPr>
          <w:rFonts w:ascii="Arial" w:hAnsi="Arial"/>
        </w:rPr>
      </w:pPr>
      <w:r>
        <w:rPr>
          <w:rFonts w:ascii="Arial" w:hAnsi="Arial"/>
        </w:rPr>
        <w:t xml:space="preserve">A report from Eligio-Cerval-Pena from DfE, focusing on the previous week’s bursary announcement, formal guidance for which would be published soon. The bursaries were only confirmed for one academic year because of grant settlement timetables, but </w:t>
      </w:r>
      <w:r w:rsidR="002216A2">
        <w:rPr>
          <w:rFonts w:ascii="Arial" w:hAnsi="Arial"/>
        </w:rPr>
        <w:t>m</w:t>
      </w:r>
      <w:r>
        <w:rPr>
          <w:rFonts w:ascii="Arial" w:hAnsi="Arial"/>
        </w:rPr>
        <w:t>ay continue beyond then. Bursaries would be issued on a first come first serve basis to those formally recruited to program</w:t>
      </w:r>
      <w:r w:rsidR="008F42F5">
        <w:rPr>
          <w:rFonts w:ascii="Arial" w:hAnsi="Arial"/>
        </w:rPr>
        <w:t>m</w:t>
      </w:r>
      <w:r>
        <w:rPr>
          <w:rFonts w:ascii="Arial" w:hAnsi="Arial"/>
        </w:rPr>
        <w:t>es after the announcement had been made. Providers could submit app</w:t>
      </w:r>
      <w:r w:rsidR="008F42F5">
        <w:rPr>
          <w:rFonts w:ascii="Arial" w:hAnsi="Arial"/>
        </w:rPr>
        <w:t>l</w:t>
      </w:r>
      <w:r>
        <w:rPr>
          <w:rFonts w:ascii="Arial" w:hAnsi="Arial"/>
        </w:rPr>
        <w:t>ications fro</w:t>
      </w:r>
      <w:r w:rsidR="008F42F5">
        <w:rPr>
          <w:rFonts w:ascii="Arial" w:hAnsi="Arial"/>
        </w:rPr>
        <w:t>m</w:t>
      </w:r>
      <w:r>
        <w:rPr>
          <w:rFonts w:ascii="Arial" w:hAnsi="Arial"/>
        </w:rPr>
        <w:t xml:space="preserve"> March, either individually or in bulk, with clear advice that app</w:t>
      </w:r>
      <w:r w:rsidR="008F42F5">
        <w:rPr>
          <w:rFonts w:ascii="Arial" w:hAnsi="Arial"/>
        </w:rPr>
        <w:t>l</w:t>
      </w:r>
      <w:r>
        <w:rPr>
          <w:rFonts w:ascii="Arial" w:hAnsi="Arial"/>
        </w:rPr>
        <w:t>ications should be</w:t>
      </w:r>
      <w:r w:rsidR="008F42F5">
        <w:rPr>
          <w:rFonts w:ascii="Arial" w:hAnsi="Arial"/>
        </w:rPr>
        <w:t xml:space="preserve"> </w:t>
      </w:r>
      <w:r>
        <w:rPr>
          <w:rFonts w:ascii="Arial" w:hAnsi="Arial"/>
        </w:rPr>
        <w:t>made as soon as they could be.</w:t>
      </w:r>
      <w:r w:rsidR="008F42F5">
        <w:rPr>
          <w:rFonts w:ascii="Arial" w:hAnsi="Arial"/>
        </w:rPr>
        <w:t xml:space="preserve"> </w:t>
      </w:r>
      <w:r>
        <w:rPr>
          <w:rFonts w:ascii="Arial" w:hAnsi="Arial"/>
        </w:rPr>
        <w:t>Those receiving bursaries</w:t>
      </w:r>
      <w:r w:rsidR="008F42F5">
        <w:rPr>
          <w:rFonts w:ascii="Arial" w:hAnsi="Arial"/>
        </w:rPr>
        <w:t xml:space="preserve"> </w:t>
      </w:r>
      <w:r>
        <w:rPr>
          <w:rFonts w:ascii="Arial" w:hAnsi="Arial"/>
        </w:rPr>
        <w:t xml:space="preserve">would be expected to complete programmes within 2 years, except </w:t>
      </w:r>
      <w:r w:rsidR="002216A2">
        <w:rPr>
          <w:rFonts w:ascii="Arial" w:hAnsi="Arial"/>
        </w:rPr>
        <w:t>i</w:t>
      </w:r>
      <w:r>
        <w:rPr>
          <w:rFonts w:ascii="Arial" w:hAnsi="Arial"/>
        </w:rPr>
        <w:t>n exceptional circumstances. Those receiving specialist bursaries wo</w:t>
      </w:r>
      <w:r w:rsidR="008F42F5">
        <w:rPr>
          <w:rFonts w:ascii="Arial" w:hAnsi="Arial"/>
        </w:rPr>
        <w:t>u</w:t>
      </w:r>
      <w:r>
        <w:rPr>
          <w:rFonts w:ascii="Arial" w:hAnsi="Arial"/>
        </w:rPr>
        <w:t>ld be</w:t>
      </w:r>
      <w:r w:rsidR="008F42F5">
        <w:rPr>
          <w:rFonts w:ascii="Arial" w:hAnsi="Arial"/>
        </w:rPr>
        <w:t xml:space="preserve"> </w:t>
      </w:r>
      <w:r>
        <w:rPr>
          <w:rFonts w:ascii="Arial" w:hAnsi="Arial"/>
        </w:rPr>
        <w:t xml:space="preserve">expected to have either a relevant Level 3 qualification or </w:t>
      </w:r>
      <w:r>
        <w:rPr>
          <w:rFonts w:ascii="Arial" w:hAnsi="Arial"/>
        </w:rPr>
        <w:lastRenderedPageBreak/>
        <w:t>relevant experience or expertise. Subject coverage on burs</w:t>
      </w:r>
      <w:r w:rsidR="008F42F5">
        <w:rPr>
          <w:rFonts w:ascii="Arial" w:hAnsi="Arial"/>
        </w:rPr>
        <w:t>a</w:t>
      </w:r>
      <w:r>
        <w:rPr>
          <w:rFonts w:ascii="Arial" w:hAnsi="Arial"/>
        </w:rPr>
        <w:t xml:space="preserve">ry eligible programmes could include what </w:t>
      </w:r>
      <w:r w:rsidR="002216A2">
        <w:rPr>
          <w:rFonts w:ascii="Arial" w:hAnsi="Arial"/>
        </w:rPr>
        <w:t xml:space="preserve">students are teaching </w:t>
      </w:r>
      <w:r w:rsidR="008F42F5">
        <w:rPr>
          <w:rFonts w:ascii="Arial" w:hAnsi="Arial"/>
        </w:rPr>
        <w:t xml:space="preserve">as well as what is covered in formal training. Other DfE updates included: </w:t>
      </w:r>
      <w:r w:rsidR="002216A2">
        <w:rPr>
          <w:rFonts w:ascii="Arial" w:hAnsi="Arial"/>
        </w:rPr>
        <w:t xml:space="preserve">student loan </w:t>
      </w:r>
      <w:r w:rsidR="008F42F5">
        <w:rPr>
          <w:rFonts w:ascii="Arial" w:hAnsi="Arial"/>
        </w:rPr>
        <w:t>issues (with an agreement that SLC could accompany DfE to the next meeting); a planned review of the ITT apprenticeship standards; and the expansion of TTF and TLPD.</w:t>
      </w:r>
    </w:p>
    <w:p w:rsidR="008F42F5" w:rsidRPr="00F5610C" w:rsidRDefault="008F42F5" w:rsidP="00972A1E">
      <w:pPr>
        <w:pStyle w:val="ListParagraph"/>
        <w:numPr>
          <w:ilvl w:val="0"/>
          <w:numId w:val="40"/>
        </w:numPr>
        <w:rPr>
          <w:rFonts w:ascii="Arial" w:hAnsi="Arial"/>
        </w:rPr>
      </w:pPr>
      <w:r>
        <w:rPr>
          <w:rFonts w:ascii="Arial" w:hAnsi="Arial"/>
        </w:rPr>
        <w:t xml:space="preserve">The development of a new </w:t>
      </w:r>
      <w:r w:rsidR="002216A2">
        <w:rPr>
          <w:rFonts w:ascii="Arial" w:hAnsi="Arial"/>
        </w:rPr>
        <w:t>U</w:t>
      </w:r>
      <w:r>
        <w:rPr>
          <w:rFonts w:ascii="Arial" w:hAnsi="Arial"/>
        </w:rPr>
        <w:t xml:space="preserve">CET strategy, drawing on the work of the Intellectual Base of Teacher Education group. </w:t>
      </w:r>
    </w:p>
    <w:p w:rsidR="009B03AA" w:rsidRPr="00F5610C" w:rsidRDefault="009B03AA" w:rsidP="000C2F61">
      <w:pPr>
        <w:pStyle w:val="ListParagraph"/>
        <w:ind w:left="-54"/>
        <w:rPr>
          <w:rFonts w:ascii="Arial" w:hAnsi="Arial"/>
        </w:rPr>
      </w:pPr>
    </w:p>
    <w:p w:rsidR="00605358" w:rsidRPr="00F5610C" w:rsidRDefault="00605358" w:rsidP="00605358">
      <w:pPr>
        <w:rPr>
          <w:rFonts w:ascii="Arial" w:hAnsi="Arial"/>
          <w:szCs w:val="22"/>
        </w:rPr>
      </w:pPr>
      <w:r w:rsidRPr="00F5610C">
        <w:rPr>
          <w:rFonts w:ascii="Arial" w:hAnsi="Arial"/>
          <w:szCs w:val="22"/>
          <w:u w:val="single"/>
        </w:rPr>
        <w:t>Items for information</w:t>
      </w:r>
    </w:p>
    <w:p w:rsidR="00605358" w:rsidRDefault="00605358" w:rsidP="00605358">
      <w:pPr>
        <w:rPr>
          <w:rFonts w:ascii="Arial" w:hAnsi="Arial"/>
          <w:szCs w:val="22"/>
        </w:rPr>
      </w:pPr>
    </w:p>
    <w:p w:rsidR="002216A2" w:rsidRDefault="002216A2" w:rsidP="00605358">
      <w:pPr>
        <w:rPr>
          <w:rFonts w:ascii="Arial" w:hAnsi="Arial"/>
          <w:szCs w:val="22"/>
        </w:rPr>
      </w:pPr>
      <w:r>
        <w:rPr>
          <w:rFonts w:ascii="Arial" w:hAnsi="Arial"/>
          <w:szCs w:val="22"/>
        </w:rPr>
        <w:t xml:space="preserve">The Post 16 Forum wished Debs Philip from Huddersfield University a speedy recovery from her illness, and looked forward to seeing her at future meetings. </w:t>
      </w:r>
    </w:p>
    <w:p w:rsidR="002216A2" w:rsidRPr="00F5610C" w:rsidRDefault="002216A2" w:rsidP="00605358">
      <w:pPr>
        <w:rPr>
          <w:rFonts w:ascii="Arial" w:hAnsi="Arial"/>
          <w:szCs w:val="22"/>
        </w:rPr>
      </w:pPr>
    </w:p>
    <w:p w:rsidR="00605358" w:rsidRDefault="00605358" w:rsidP="00605358">
      <w:pPr>
        <w:rPr>
          <w:rFonts w:ascii="Arial" w:hAnsi="Arial"/>
          <w:szCs w:val="22"/>
        </w:rPr>
      </w:pPr>
      <w:r w:rsidRPr="00F5610C">
        <w:rPr>
          <w:rFonts w:ascii="Arial" w:hAnsi="Arial"/>
          <w:szCs w:val="22"/>
        </w:rPr>
        <w:t xml:space="preserve">Forum members noted the 2019 UCET </w:t>
      </w:r>
      <w:r w:rsidR="008F42F5">
        <w:rPr>
          <w:rFonts w:ascii="Arial" w:hAnsi="Arial"/>
          <w:szCs w:val="22"/>
        </w:rPr>
        <w:t xml:space="preserve">December </w:t>
      </w:r>
      <w:r w:rsidRPr="00F5610C">
        <w:rPr>
          <w:rFonts w:ascii="Arial" w:hAnsi="Arial"/>
          <w:szCs w:val="22"/>
        </w:rPr>
        <w:t xml:space="preserve">newsletter and </w:t>
      </w:r>
      <w:r w:rsidR="008F42F5">
        <w:rPr>
          <w:rFonts w:ascii="Arial" w:hAnsi="Arial"/>
          <w:szCs w:val="22"/>
        </w:rPr>
        <w:t xml:space="preserve">details of </w:t>
      </w:r>
      <w:r w:rsidRPr="00F5610C">
        <w:rPr>
          <w:rFonts w:ascii="Arial" w:hAnsi="Arial"/>
          <w:szCs w:val="22"/>
        </w:rPr>
        <w:t>the 20</w:t>
      </w:r>
      <w:r w:rsidR="008F42F5">
        <w:rPr>
          <w:rFonts w:ascii="Arial" w:hAnsi="Arial"/>
          <w:szCs w:val="22"/>
        </w:rPr>
        <w:t>20</w:t>
      </w:r>
      <w:r w:rsidRPr="00F5610C">
        <w:rPr>
          <w:rFonts w:ascii="Arial" w:hAnsi="Arial"/>
          <w:szCs w:val="22"/>
        </w:rPr>
        <w:t xml:space="preserve"> ICET conference</w:t>
      </w:r>
      <w:r w:rsidR="008F42F5">
        <w:rPr>
          <w:rFonts w:ascii="Arial" w:hAnsi="Arial"/>
          <w:szCs w:val="22"/>
        </w:rPr>
        <w:t xml:space="preserve"> at Bath Spa</w:t>
      </w:r>
      <w:r w:rsidRPr="00F5610C">
        <w:rPr>
          <w:rFonts w:ascii="Arial" w:hAnsi="Arial"/>
          <w:szCs w:val="22"/>
        </w:rPr>
        <w:t>.</w:t>
      </w:r>
    </w:p>
    <w:p w:rsidR="008F42F5" w:rsidRDefault="008F42F5" w:rsidP="00605358">
      <w:pPr>
        <w:rPr>
          <w:rFonts w:ascii="Arial" w:hAnsi="Arial"/>
          <w:szCs w:val="22"/>
        </w:rPr>
      </w:pPr>
    </w:p>
    <w:p w:rsidR="008F42F5" w:rsidRDefault="008F42F5" w:rsidP="00605358">
      <w:pPr>
        <w:rPr>
          <w:rFonts w:ascii="Arial" w:hAnsi="Arial"/>
          <w:szCs w:val="22"/>
        </w:rPr>
      </w:pPr>
      <w:r>
        <w:rPr>
          <w:rFonts w:ascii="Arial" w:hAnsi="Arial"/>
          <w:szCs w:val="22"/>
          <w:u w:val="single"/>
        </w:rPr>
        <w:t>Any other business</w:t>
      </w:r>
    </w:p>
    <w:p w:rsidR="008F42F5" w:rsidRDefault="008F42F5" w:rsidP="00605358">
      <w:pPr>
        <w:rPr>
          <w:rFonts w:ascii="Arial" w:hAnsi="Arial"/>
          <w:szCs w:val="22"/>
        </w:rPr>
      </w:pPr>
    </w:p>
    <w:p w:rsidR="008F42F5" w:rsidRPr="008F42F5" w:rsidRDefault="008F42F5" w:rsidP="00605358">
      <w:pPr>
        <w:rPr>
          <w:rFonts w:ascii="Arial" w:hAnsi="Arial"/>
          <w:szCs w:val="22"/>
        </w:rPr>
      </w:pPr>
      <w:r>
        <w:rPr>
          <w:rFonts w:ascii="Arial" w:hAnsi="Arial"/>
          <w:szCs w:val="22"/>
        </w:rPr>
        <w:t xml:space="preserve">Forum members were given details of the EAPRIL conference that would take place in Austria in November. </w:t>
      </w:r>
    </w:p>
    <w:p w:rsidR="000C2F61" w:rsidRPr="00F5610C" w:rsidRDefault="000C2F61" w:rsidP="000C2F61">
      <w:pPr>
        <w:ind w:left="567"/>
        <w:rPr>
          <w:rFonts w:ascii="Arial" w:hAnsi="Arial"/>
          <w:szCs w:val="22"/>
        </w:rPr>
      </w:pPr>
    </w:p>
    <w:p w:rsidR="00605358" w:rsidRPr="00F5610C" w:rsidRDefault="00946BDD" w:rsidP="00605358">
      <w:pPr>
        <w:rPr>
          <w:rFonts w:ascii="Arial" w:hAnsi="Arial"/>
          <w:szCs w:val="22"/>
          <w:u w:val="single"/>
        </w:rPr>
      </w:pPr>
      <w:r w:rsidRPr="00F5610C">
        <w:rPr>
          <w:rFonts w:ascii="Arial" w:hAnsi="Arial"/>
          <w:szCs w:val="22"/>
          <w:u w:val="single"/>
        </w:rPr>
        <w:t xml:space="preserve">Date of next meeting: </w:t>
      </w:r>
    </w:p>
    <w:p w:rsidR="00605358" w:rsidRPr="00F5610C" w:rsidRDefault="00605358" w:rsidP="00605358">
      <w:pPr>
        <w:rPr>
          <w:rFonts w:ascii="Arial" w:hAnsi="Arial"/>
          <w:szCs w:val="22"/>
        </w:rPr>
      </w:pPr>
    </w:p>
    <w:p w:rsidR="008F42F5" w:rsidRDefault="008F42F5" w:rsidP="00605358">
      <w:pPr>
        <w:rPr>
          <w:rFonts w:ascii="Arial" w:hAnsi="Arial"/>
          <w:szCs w:val="22"/>
        </w:rPr>
      </w:pPr>
      <w:r>
        <w:rPr>
          <w:rFonts w:ascii="Arial" w:hAnsi="Arial"/>
          <w:szCs w:val="22"/>
        </w:rPr>
        <w:t>22 May 2020</w:t>
      </w:r>
    </w:p>
    <w:p w:rsidR="008F42F5" w:rsidRDefault="008F42F5">
      <w:pPr>
        <w:rPr>
          <w:rFonts w:ascii="Arial" w:hAnsi="Arial"/>
          <w:szCs w:val="22"/>
        </w:rPr>
      </w:pPr>
      <w:r>
        <w:rPr>
          <w:rFonts w:ascii="Arial" w:hAnsi="Arial"/>
          <w:szCs w:val="22"/>
        </w:rPr>
        <w:br w:type="page"/>
      </w:r>
    </w:p>
    <w:p w:rsidR="008F42F5" w:rsidRPr="008F42F5" w:rsidRDefault="008F42F5" w:rsidP="00605358">
      <w:pPr>
        <w:rPr>
          <w:rFonts w:ascii="Arial" w:hAnsi="Arial"/>
          <w:b/>
          <w:szCs w:val="22"/>
        </w:rPr>
      </w:pPr>
      <w:r w:rsidRPr="008F42F5">
        <w:rPr>
          <w:rFonts w:ascii="Arial" w:hAnsi="Arial"/>
          <w:b/>
          <w:szCs w:val="22"/>
        </w:rPr>
        <w:lastRenderedPageBreak/>
        <w:t xml:space="preserve">Annex A: </w:t>
      </w:r>
    </w:p>
    <w:p w:rsidR="008F42F5" w:rsidRPr="008F42F5" w:rsidRDefault="008F42F5" w:rsidP="00605358">
      <w:pPr>
        <w:rPr>
          <w:rFonts w:ascii="Arial" w:hAnsi="Arial"/>
          <w:b/>
          <w:szCs w:val="22"/>
        </w:rPr>
      </w:pPr>
    </w:p>
    <w:p w:rsidR="00946BDD" w:rsidRDefault="008F42F5" w:rsidP="00946BDD">
      <w:pPr>
        <w:rPr>
          <w:rFonts w:ascii="Arial" w:hAnsi="Arial"/>
          <w:b/>
          <w:szCs w:val="22"/>
        </w:rPr>
      </w:pPr>
      <w:r w:rsidRPr="008F42F5">
        <w:rPr>
          <w:rFonts w:ascii="Arial" w:hAnsi="Arial"/>
          <w:b/>
          <w:szCs w:val="22"/>
        </w:rPr>
        <w:t>Summary of points made at morning symposium on the OfSTED inspection framework</w:t>
      </w:r>
    </w:p>
    <w:p w:rsidR="008F42F5" w:rsidRDefault="008F42F5" w:rsidP="00946BDD">
      <w:pPr>
        <w:rPr>
          <w:rFonts w:ascii="Arial" w:hAnsi="Arial"/>
          <w:b/>
          <w:szCs w:val="22"/>
        </w:rPr>
      </w:pPr>
    </w:p>
    <w:p w:rsidR="008F42F5" w:rsidRDefault="008F42F5" w:rsidP="008F42F5">
      <w:pPr>
        <w:pStyle w:val="ListParagraph"/>
        <w:numPr>
          <w:ilvl w:val="0"/>
          <w:numId w:val="41"/>
        </w:numPr>
        <w:rPr>
          <w:rFonts w:ascii="Arial" w:hAnsi="Arial"/>
        </w:rPr>
      </w:pPr>
      <w:r>
        <w:rPr>
          <w:rFonts w:ascii="Arial" w:hAnsi="Arial"/>
        </w:rPr>
        <w:t xml:space="preserve">The language (‘pupils’, ‘schools’ etc.) is not always </w:t>
      </w:r>
      <w:r w:rsidR="002216A2">
        <w:rPr>
          <w:rFonts w:ascii="Arial" w:hAnsi="Arial"/>
        </w:rPr>
        <w:t>relevant to the post</w:t>
      </w:r>
      <w:r>
        <w:rPr>
          <w:rFonts w:ascii="Arial" w:hAnsi="Arial"/>
        </w:rPr>
        <w:t>-compulsory sector? Can it be assumed that PCET ITE is not covered by sections with such references?</w:t>
      </w:r>
    </w:p>
    <w:p w:rsidR="008F42F5" w:rsidRDefault="008F42F5" w:rsidP="008F42F5">
      <w:pPr>
        <w:pStyle w:val="ListParagraph"/>
        <w:numPr>
          <w:ilvl w:val="0"/>
          <w:numId w:val="41"/>
        </w:numPr>
        <w:rPr>
          <w:rFonts w:ascii="Arial" w:hAnsi="Arial"/>
        </w:rPr>
      </w:pPr>
      <w:r>
        <w:rPr>
          <w:rFonts w:ascii="Arial" w:hAnsi="Arial"/>
        </w:rPr>
        <w:t xml:space="preserve">There are mixed messages about the use of data, with an emphasis on inspection outcomes not being data driven </w:t>
      </w:r>
      <w:r w:rsidR="002216A2">
        <w:rPr>
          <w:rFonts w:ascii="Arial" w:hAnsi="Arial"/>
        </w:rPr>
        <w:t xml:space="preserve">alongside </w:t>
      </w:r>
      <w:r>
        <w:rPr>
          <w:rFonts w:ascii="Arial" w:hAnsi="Arial"/>
        </w:rPr>
        <w:t>references to OfSTED drawing on relevant data.</w:t>
      </w:r>
    </w:p>
    <w:p w:rsidR="008F42F5" w:rsidRDefault="008F42F5" w:rsidP="008F42F5">
      <w:pPr>
        <w:pStyle w:val="ListParagraph"/>
        <w:numPr>
          <w:ilvl w:val="0"/>
          <w:numId w:val="41"/>
        </w:numPr>
        <w:rPr>
          <w:rFonts w:ascii="Arial" w:hAnsi="Arial"/>
        </w:rPr>
      </w:pPr>
      <w:r>
        <w:rPr>
          <w:rFonts w:ascii="Arial" w:hAnsi="Arial"/>
        </w:rPr>
        <w:t>References to ‘radically different approaches’ to the ITE curriculum being permissible sit une</w:t>
      </w:r>
      <w:r w:rsidR="00E13DA4">
        <w:rPr>
          <w:rFonts w:ascii="Arial" w:hAnsi="Arial"/>
        </w:rPr>
        <w:t>asily</w:t>
      </w:r>
      <w:r>
        <w:rPr>
          <w:rFonts w:ascii="Arial" w:hAnsi="Arial"/>
        </w:rPr>
        <w:t xml:space="preserve"> </w:t>
      </w:r>
      <w:r w:rsidR="002216A2">
        <w:rPr>
          <w:rFonts w:ascii="Arial" w:hAnsi="Arial"/>
        </w:rPr>
        <w:t xml:space="preserve">with </w:t>
      </w:r>
      <w:r>
        <w:rPr>
          <w:rFonts w:ascii="Arial" w:hAnsi="Arial"/>
        </w:rPr>
        <w:t xml:space="preserve">those about </w:t>
      </w:r>
      <w:r w:rsidR="00E13DA4">
        <w:rPr>
          <w:rFonts w:ascii="Arial" w:hAnsi="Arial"/>
        </w:rPr>
        <w:t>specific curricula being covered (and not covered!).</w:t>
      </w:r>
    </w:p>
    <w:p w:rsidR="00E13DA4" w:rsidRDefault="00E13DA4" w:rsidP="008F42F5">
      <w:pPr>
        <w:pStyle w:val="ListParagraph"/>
        <w:numPr>
          <w:ilvl w:val="0"/>
          <w:numId w:val="41"/>
        </w:numPr>
        <w:rPr>
          <w:rFonts w:ascii="Arial" w:hAnsi="Arial"/>
        </w:rPr>
      </w:pPr>
      <w:r>
        <w:rPr>
          <w:rFonts w:ascii="Arial" w:hAnsi="Arial"/>
        </w:rPr>
        <w:t>What is the status of SEDs for the PCET sector?</w:t>
      </w:r>
    </w:p>
    <w:p w:rsidR="00E13DA4" w:rsidRDefault="00E13DA4" w:rsidP="008F42F5">
      <w:pPr>
        <w:pStyle w:val="ListParagraph"/>
        <w:numPr>
          <w:ilvl w:val="0"/>
          <w:numId w:val="41"/>
        </w:numPr>
        <w:rPr>
          <w:rFonts w:ascii="Arial" w:hAnsi="Arial"/>
        </w:rPr>
      </w:pPr>
      <w:r>
        <w:rPr>
          <w:rFonts w:ascii="Arial" w:hAnsi="Arial"/>
        </w:rPr>
        <w:t>There are references to national priorities for ITE, although these do not appear to have formally existed for several years.</w:t>
      </w:r>
    </w:p>
    <w:p w:rsidR="00E13DA4" w:rsidRDefault="00E13DA4" w:rsidP="008F42F5">
      <w:pPr>
        <w:pStyle w:val="ListParagraph"/>
        <w:numPr>
          <w:ilvl w:val="0"/>
          <w:numId w:val="41"/>
        </w:numPr>
        <w:rPr>
          <w:rFonts w:ascii="Arial" w:hAnsi="Arial"/>
        </w:rPr>
      </w:pPr>
      <w:r>
        <w:rPr>
          <w:rFonts w:ascii="Arial" w:hAnsi="Arial"/>
        </w:rPr>
        <w:t xml:space="preserve">While welcome, the extra days’ notice of inspections might not be sufficient for the preparation these inspections will require. </w:t>
      </w:r>
    </w:p>
    <w:p w:rsidR="00E13DA4" w:rsidRDefault="00E13DA4" w:rsidP="008F42F5">
      <w:pPr>
        <w:pStyle w:val="ListParagraph"/>
        <w:numPr>
          <w:ilvl w:val="0"/>
          <w:numId w:val="41"/>
        </w:numPr>
        <w:rPr>
          <w:rFonts w:ascii="Arial" w:hAnsi="Arial"/>
        </w:rPr>
      </w:pPr>
      <w:r>
        <w:rPr>
          <w:rFonts w:ascii="Arial" w:hAnsi="Arial"/>
        </w:rPr>
        <w:t xml:space="preserve">The monitoring of the extent to which partners are meeting regional demand for new teachers is problematic for the post-compulsory sector. These recruited to in-service programmes are, by definition, meeting demand, while recruiting pre-service students is dependent on placements being available. </w:t>
      </w:r>
    </w:p>
    <w:p w:rsidR="00E13DA4" w:rsidRDefault="00E13DA4" w:rsidP="008F42F5">
      <w:pPr>
        <w:pStyle w:val="ListParagraph"/>
        <w:numPr>
          <w:ilvl w:val="0"/>
          <w:numId w:val="41"/>
        </w:numPr>
        <w:rPr>
          <w:rFonts w:ascii="Arial" w:hAnsi="Arial"/>
        </w:rPr>
      </w:pPr>
      <w:r>
        <w:rPr>
          <w:rFonts w:ascii="Arial" w:hAnsi="Arial"/>
        </w:rPr>
        <w:t xml:space="preserve">Some student teachers should not be subject to observation for mental health reasons. </w:t>
      </w:r>
    </w:p>
    <w:p w:rsidR="00E13DA4" w:rsidRDefault="00E13DA4" w:rsidP="008F42F5">
      <w:pPr>
        <w:pStyle w:val="ListParagraph"/>
        <w:numPr>
          <w:ilvl w:val="0"/>
          <w:numId w:val="41"/>
        </w:numPr>
        <w:rPr>
          <w:rFonts w:ascii="Arial" w:hAnsi="Arial"/>
        </w:rPr>
      </w:pPr>
      <w:r>
        <w:rPr>
          <w:rFonts w:ascii="Arial" w:hAnsi="Arial"/>
        </w:rPr>
        <w:t xml:space="preserve">Assessing how providers have adjusted </w:t>
      </w:r>
      <w:r w:rsidR="002216A2">
        <w:rPr>
          <w:rFonts w:ascii="Arial" w:hAnsi="Arial"/>
        </w:rPr>
        <w:t xml:space="preserve">programmes </w:t>
      </w:r>
      <w:r>
        <w:rPr>
          <w:rFonts w:ascii="Arial" w:hAnsi="Arial"/>
        </w:rPr>
        <w:t xml:space="preserve">in the light of previous inspection reports may not be appropriate given the amount of time between inspections, and the fact that inspection grades under the previous framework might not translate to those awarded under the new one. </w:t>
      </w:r>
    </w:p>
    <w:p w:rsidR="00E13DA4" w:rsidRDefault="00E13DA4" w:rsidP="008F42F5">
      <w:pPr>
        <w:pStyle w:val="ListParagraph"/>
        <w:numPr>
          <w:ilvl w:val="0"/>
          <w:numId w:val="41"/>
        </w:numPr>
        <w:rPr>
          <w:rFonts w:ascii="Arial" w:hAnsi="Arial"/>
        </w:rPr>
      </w:pPr>
      <w:r>
        <w:rPr>
          <w:rFonts w:ascii="Arial" w:hAnsi="Arial"/>
        </w:rPr>
        <w:t xml:space="preserve">References to PCET inspections aligning with FE inspections in paragraph 83 need clarification. </w:t>
      </w:r>
    </w:p>
    <w:p w:rsidR="0058705C" w:rsidRDefault="0058705C" w:rsidP="008F42F5">
      <w:pPr>
        <w:pStyle w:val="ListParagraph"/>
        <w:numPr>
          <w:ilvl w:val="0"/>
          <w:numId w:val="41"/>
        </w:numPr>
        <w:rPr>
          <w:rFonts w:ascii="Arial" w:hAnsi="Arial"/>
        </w:rPr>
      </w:pPr>
      <w:r>
        <w:rPr>
          <w:rFonts w:ascii="Arial" w:hAnsi="Arial"/>
        </w:rPr>
        <w:t xml:space="preserve">Concern that the emphasis on electronic data could undermine the importance of verbal feedback. </w:t>
      </w:r>
    </w:p>
    <w:p w:rsidR="0058705C" w:rsidRDefault="0058705C" w:rsidP="008F42F5">
      <w:pPr>
        <w:pStyle w:val="ListParagraph"/>
        <w:numPr>
          <w:ilvl w:val="0"/>
          <w:numId w:val="41"/>
        </w:numPr>
        <w:rPr>
          <w:rFonts w:ascii="Arial" w:hAnsi="Arial"/>
        </w:rPr>
      </w:pPr>
      <w:r>
        <w:rPr>
          <w:rFonts w:ascii="Arial" w:hAnsi="Arial"/>
        </w:rPr>
        <w:t>References in paragraph 108 need to extend beyond subject areas to encompass the teaching of different types of student.</w:t>
      </w:r>
    </w:p>
    <w:p w:rsidR="0058705C" w:rsidRPr="008F42F5" w:rsidRDefault="0058705C" w:rsidP="008F42F5">
      <w:pPr>
        <w:pStyle w:val="ListParagraph"/>
        <w:numPr>
          <w:ilvl w:val="0"/>
          <w:numId w:val="41"/>
        </w:numPr>
        <w:rPr>
          <w:rFonts w:ascii="Arial" w:hAnsi="Arial"/>
        </w:rPr>
      </w:pPr>
      <w:r>
        <w:rPr>
          <w:rFonts w:ascii="Arial" w:hAnsi="Arial"/>
        </w:rPr>
        <w:t xml:space="preserve">Paragraph 116 is to an extent self-contradictory.  </w:t>
      </w:r>
    </w:p>
    <w:p w:rsidR="00946BDD" w:rsidRPr="008F42F5" w:rsidRDefault="00946BDD" w:rsidP="00946BDD">
      <w:pPr>
        <w:pStyle w:val="ListParagraph"/>
        <w:rPr>
          <w:rFonts w:ascii="Arial" w:hAnsi="Arial"/>
          <w:b/>
        </w:rPr>
      </w:pPr>
    </w:p>
    <w:sectPr w:rsidR="00946BDD" w:rsidRPr="008F42F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855"/>
    <w:multiLevelType w:val="hybridMultilevel"/>
    <w:tmpl w:val="4388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581F7C"/>
    <w:multiLevelType w:val="hybridMultilevel"/>
    <w:tmpl w:val="050C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81F23F2"/>
    <w:multiLevelType w:val="hybridMultilevel"/>
    <w:tmpl w:val="58D2CDD0"/>
    <w:lvl w:ilvl="0" w:tplc="D020FB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8C579EC"/>
    <w:multiLevelType w:val="hybridMultilevel"/>
    <w:tmpl w:val="6AA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E1D3992"/>
    <w:multiLevelType w:val="hybridMultilevel"/>
    <w:tmpl w:val="234EAD34"/>
    <w:lvl w:ilvl="0" w:tplc="47C839C6">
      <w:start w:val="1"/>
      <w:numFmt w:val="decimal"/>
      <w:lvlText w:val="%1."/>
      <w:lvlJc w:val="left"/>
      <w:pPr>
        <w:ind w:left="927"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313AB"/>
    <w:multiLevelType w:val="hybridMultilevel"/>
    <w:tmpl w:val="40960C84"/>
    <w:lvl w:ilvl="0" w:tplc="0809000F">
      <w:start w:val="1"/>
      <w:numFmt w:val="decimal"/>
      <w:lvlText w:val="%1."/>
      <w:lvlJc w:val="left"/>
      <w:pPr>
        <w:ind w:left="-54" w:hanging="360"/>
      </w:pPr>
      <w:rPr>
        <w:rFonts w:hint="default"/>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30"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C7AF0"/>
    <w:multiLevelType w:val="hybridMultilevel"/>
    <w:tmpl w:val="41CA4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4"/>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6"/>
  </w:num>
  <w:num w:numId="16">
    <w:abstractNumId w:val="12"/>
  </w:num>
  <w:num w:numId="17">
    <w:abstractNumId w:val="0"/>
  </w:num>
  <w:num w:numId="18">
    <w:abstractNumId w:val="25"/>
  </w:num>
  <w:num w:numId="19">
    <w:abstractNumId w:val="35"/>
  </w:num>
  <w:num w:numId="20">
    <w:abstractNumId w:val="21"/>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37"/>
  </w:num>
  <w:num w:numId="27">
    <w:abstractNumId w:val="38"/>
  </w:num>
  <w:num w:numId="28">
    <w:abstractNumId w:val="31"/>
  </w:num>
  <w:num w:numId="29">
    <w:abstractNumId w:val="3"/>
  </w:num>
  <w:num w:numId="30">
    <w:abstractNumId w:val="17"/>
  </w:num>
  <w:num w:numId="31">
    <w:abstractNumId w:val="5"/>
  </w:num>
  <w:num w:numId="32">
    <w:abstractNumId w:val="28"/>
  </w:num>
  <w:num w:numId="33">
    <w:abstractNumId w:val="6"/>
  </w:num>
  <w:num w:numId="34">
    <w:abstractNumId w:val="2"/>
  </w:num>
  <w:num w:numId="35">
    <w:abstractNumId w:val="15"/>
  </w:num>
  <w:num w:numId="36">
    <w:abstractNumId w:val="18"/>
  </w:num>
  <w:num w:numId="37">
    <w:abstractNumId w:val="29"/>
  </w:num>
  <w:num w:numId="38">
    <w:abstractNumId w:val="19"/>
  </w:num>
  <w:num w:numId="39">
    <w:abstractNumId w:val="14"/>
  </w:num>
  <w:num w:numId="40">
    <w:abstractNumId w:val="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1888"/>
    <w:rsid w:val="00026AC1"/>
    <w:rsid w:val="00056340"/>
    <w:rsid w:val="000663F4"/>
    <w:rsid w:val="000757B0"/>
    <w:rsid w:val="00075E3A"/>
    <w:rsid w:val="000842BA"/>
    <w:rsid w:val="000871B3"/>
    <w:rsid w:val="000C2F61"/>
    <w:rsid w:val="000E0804"/>
    <w:rsid w:val="000F1ECB"/>
    <w:rsid w:val="000F241C"/>
    <w:rsid w:val="000F5164"/>
    <w:rsid w:val="00100462"/>
    <w:rsid w:val="00102097"/>
    <w:rsid w:val="00125B89"/>
    <w:rsid w:val="00130618"/>
    <w:rsid w:val="001369F9"/>
    <w:rsid w:val="00137005"/>
    <w:rsid w:val="00137534"/>
    <w:rsid w:val="00163B98"/>
    <w:rsid w:val="001752C8"/>
    <w:rsid w:val="00187C64"/>
    <w:rsid w:val="00195401"/>
    <w:rsid w:val="001A13A8"/>
    <w:rsid w:val="001A3DB2"/>
    <w:rsid w:val="001A58F8"/>
    <w:rsid w:val="002019C7"/>
    <w:rsid w:val="002216A2"/>
    <w:rsid w:val="00224D57"/>
    <w:rsid w:val="00250CB7"/>
    <w:rsid w:val="00263612"/>
    <w:rsid w:val="00293873"/>
    <w:rsid w:val="002B18AF"/>
    <w:rsid w:val="002D28F2"/>
    <w:rsid w:val="003030E1"/>
    <w:rsid w:val="003353A2"/>
    <w:rsid w:val="00335CAC"/>
    <w:rsid w:val="003466D1"/>
    <w:rsid w:val="003701A6"/>
    <w:rsid w:val="00373FDA"/>
    <w:rsid w:val="0037440E"/>
    <w:rsid w:val="00396A18"/>
    <w:rsid w:val="003A07AB"/>
    <w:rsid w:val="003E399F"/>
    <w:rsid w:val="003E6C64"/>
    <w:rsid w:val="004020BF"/>
    <w:rsid w:val="00404BC9"/>
    <w:rsid w:val="004051F5"/>
    <w:rsid w:val="00406BE6"/>
    <w:rsid w:val="00406E3F"/>
    <w:rsid w:val="004173C3"/>
    <w:rsid w:val="00460ADD"/>
    <w:rsid w:val="00467623"/>
    <w:rsid w:val="004712AB"/>
    <w:rsid w:val="00473C5F"/>
    <w:rsid w:val="00473DD9"/>
    <w:rsid w:val="004919CD"/>
    <w:rsid w:val="004A2A80"/>
    <w:rsid w:val="004A52B7"/>
    <w:rsid w:val="004B1B32"/>
    <w:rsid w:val="004C357B"/>
    <w:rsid w:val="004C6301"/>
    <w:rsid w:val="004D22CE"/>
    <w:rsid w:val="004D4E96"/>
    <w:rsid w:val="004E424F"/>
    <w:rsid w:val="0050585C"/>
    <w:rsid w:val="00510CD9"/>
    <w:rsid w:val="005241D6"/>
    <w:rsid w:val="00533996"/>
    <w:rsid w:val="0058705C"/>
    <w:rsid w:val="00587A14"/>
    <w:rsid w:val="005907AE"/>
    <w:rsid w:val="005D33B6"/>
    <w:rsid w:val="005D6022"/>
    <w:rsid w:val="005E07F9"/>
    <w:rsid w:val="005F6649"/>
    <w:rsid w:val="00600564"/>
    <w:rsid w:val="00605358"/>
    <w:rsid w:val="00615AE0"/>
    <w:rsid w:val="00644F0F"/>
    <w:rsid w:val="00663708"/>
    <w:rsid w:val="006713D1"/>
    <w:rsid w:val="006821DB"/>
    <w:rsid w:val="0069062B"/>
    <w:rsid w:val="006920D4"/>
    <w:rsid w:val="00692AA1"/>
    <w:rsid w:val="00697ED9"/>
    <w:rsid w:val="006A13E1"/>
    <w:rsid w:val="006B16E8"/>
    <w:rsid w:val="006C1A63"/>
    <w:rsid w:val="006C7354"/>
    <w:rsid w:val="006F0BBA"/>
    <w:rsid w:val="006F1F61"/>
    <w:rsid w:val="006F3B08"/>
    <w:rsid w:val="0071182F"/>
    <w:rsid w:val="00715788"/>
    <w:rsid w:val="007248F3"/>
    <w:rsid w:val="00725C06"/>
    <w:rsid w:val="0073319F"/>
    <w:rsid w:val="00736FAE"/>
    <w:rsid w:val="00772509"/>
    <w:rsid w:val="00774E74"/>
    <w:rsid w:val="00783030"/>
    <w:rsid w:val="0078342E"/>
    <w:rsid w:val="00796920"/>
    <w:rsid w:val="007A21CA"/>
    <w:rsid w:val="007B0819"/>
    <w:rsid w:val="007B1F7F"/>
    <w:rsid w:val="007C6582"/>
    <w:rsid w:val="007C72AE"/>
    <w:rsid w:val="007D01A5"/>
    <w:rsid w:val="007D240E"/>
    <w:rsid w:val="007F7A39"/>
    <w:rsid w:val="008012B6"/>
    <w:rsid w:val="00801AC2"/>
    <w:rsid w:val="00805E99"/>
    <w:rsid w:val="00813513"/>
    <w:rsid w:val="008201B0"/>
    <w:rsid w:val="008252AB"/>
    <w:rsid w:val="0083673D"/>
    <w:rsid w:val="00837D18"/>
    <w:rsid w:val="00856E94"/>
    <w:rsid w:val="00860948"/>
    <w:rsid w:val="0086641B"/>
    <w:rsid w:val="00880A4E"/>
    <w:rsid w:val="008818D3"/>
    <w:rsid w:val="0088376A"/>
    <w:rsid w:val="008862BB"/>
    <w:rsid w:val="008A0A18"/>
    <w:rsid w:val="008F42F5"/>
    <w:rsid w:val="008F7973"/>
    <w:rsid w:val="00900283"/>
    <w:rsid w:val="00904226"/>
    <w:rsid w:val="00924704"/>
    <w:rsid w:val="00946BDD"/>
    <w:rsid w:val="0095198B"/>
    <w:rsid w:val="0095447C"/>
    <w:rsid w:val="00956306"/>
    <w:rsid w:val="00956679"/>
    <w:rsid w:val="00972A1E"/>
    <w:rsid w:val="00986160"/>
    <w:rsid w:val="009927E3"/>
    <w:rsid w:val="009B03AA"/>
    <w:rsid w:val="009B4042"/>
    <w:rsid w:val="009B79CF"/>
    <w:rsid w:val="009C575C"/>
    <w:rsid w:val="00A07063"/>
    <w:rsid w:val="00A4230A"/>
    <w:rsid w:val="00A62726"/>
    <w:rsid w:val="00A648E6"/>
    <w:rsid w:val="00A65CFD"/>
    <w:rsid w:val="00A87EB7"/>
    <w:rsid w:val="00A97D3F"/>
    <w:rsid w:val="00AA07DD"/>
    <w:rsid w:val="00AA1506"/>
    <w:rsid w:val="00AA3673"/>
    <w:rsid w:val="00AB568E"/>
    <w:rsid w:val="00AD53AD"/>
    <w:rsid w:val="00AD7290"/>
    <w:rsid w:val="00AE365F"/>
    <w:rsid w:val="00AE40D7"/>
    <w:rsid w:val="00AE6B38"/>
    <w:rsid w:val="00AF7C09"/>
    <w:rsid w:val="00B6401E"/>
    <w:rsid w:val="00B65A82"/>
    <w:rsid w:val="00B7045E"/>
    <w:rsid w:val="00B73A50"/>
    <w:rsid w:val="00B80B29"/>
    <w:rsid w:val="00B90731"/>
    <w:rsid w:val="00B93383"/>
    <w:rsid w:val="00BA540B"/>
    <w:rsid w:val="00BB1276"/>
    <w:rsid w:val="00BC463C"/>
    <w:rsid w:val="00BF2BD7"/>
    <w:rsid w:val="00C0032E"/>
    <w:rsid w:val="00C02640"/>
    <w:rsid w:val="00C11F17"/>
    <w:rsid w:val="00C23A79"/>
    <w:rsid w:val="00C27B2F"/>
    <w:rsid w:val="00C36EE1"/>
    <w:rsid w:val="00C4023E"/>
    <w:rsid w:val="00C51AF9"/>
    <w:rsid w:val="00C54884"/>
    <w:rsid w:val="00C56C09"/>
    <w:rsid w:val="00C81D4A"/>
    <w:rsid w:val="00CB45A4"/>
    <w:rsid w:val="00CD52B5"/>
    <w:rsid w:val="00CD5C9E"/>
    <w:rsid w:val="00CD6CDB"/>
    <w:rsid w:val="00CD6E6C"/>
    <w:rsid w:val="00CD7BF8"/>
    <w:rsid w:val="00CE3D94"/>
    <w:rsid w:val="00CF4AE3"/>
    <w:rsid w:val="00CF4EBB"/>
    <w:rsid w:val="00D006E8"/>
    <w:rsid w:val="00D01DF5"/>
    <w:rsid w:val="00D22D96"/>
    <w:rsid w:val="00D3599D"/>
    <w:rsid w:val="00D51AB9"/>
    <w:rsid w:val="00D85225"/>
    <w:rsid w:val="00D91D76"/>
    <w:rsid w:val="00DA18ED"/>
    <w:rsid w:val="00DA4A65"/>
    <w:rsid w:val="00DA549A"/>
    <w:rsid w:val="00DB1486"/>
    <w:rsid w:val="00DB47B9"/>
    <w:rsid w:val="00DB5F3C"/>
    <w:rsid w:val="00DC2807"/>
    <w:rsid w:val="00DF458F"/>
    <w:rsid w:val="00E04418"/>
    <w:rsid w:val="00E13DA4"/>
    <w:rsid w:val="00E13FB2"/>
    <w:rsid w:val="00E20FC5"/>
    <w:rsid w:val="00E265FE"/>
    <w:rsid w:val="00E27BA3"/>
    <w:rsid w:val="00E64ED8"/>
    <w:rsid w:val="00E7510C"/>
    <w:rsid w:val="00E772EE"/>
    <w:rsid w:val="00E86129"/>
    <w:rsid w:val="00F263AC"/>
    <w:rsid w:val="00F27355"/>
    <w:rsid w:val="00F325CB"/>
    <w:rsid w:val="00F32B1D"/>
    <w:rsid w:val="00F41BF4"/>
    <w:rsid w:val="00F43BD5"/>
    <w:rsid w:val="00F5610C"/>
    <w:rsid w:val="00F6662E"/>
    <w:rsid w:val="00F738CB"/>
    <w:rsid w:val="00F813E2"/>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05442469">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 w:id="1463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F8EBE-C890-4E1C-8FFC-DD3D249E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5113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2020-02-11T07:59:00Z</cp:lastPrinted>
  <dcterms:created xsi:type="dcterms:W3CDTF">2020-04-27T12:57:00Z</dcterms:created>
  <dcterms:modified xsi:type="dcterms:W3CDTF">2020-04-27T12:57:00Z</dcterms:modified>
</cp:coreProperties>
</file>