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4D22CE" w:rsidP="00F325CB">
      <w:pPr>
        <w:jc w:val="both"/>
        <w:rPr>
          <w:rFonts w:ascii="Frutiger 45 Light" w:hAnsi="Frutiger 45 Light"/>
        </w:rPr>
      </w:pPr>
    </w:p>
    <w:p w:rsidR="00FE76D4" w:rsidRDefault="00FE76D4" w:rsidP="00F325CB">
      <w:pPr>
        <w:jc w:val="both"/>
        <w:rPr>
          <w:rFonts w:ascii="Frutiger 45 Light" w:hAnsi="Frutiger 45 Light"/>
        </w:rPr>
      </w:pPr>
    </w:p>
    <w:p w:rsidR="00FE76D4" w:rsidRDefault="00FE76D4" w:rsidP="00F325CB">
      <w:pPr>
        <w:jc w:val="both"/>
        <w:rPr>
          <w:rFonts w:ascii="Frutiger 45 Light" w:hAnsi="Frutiger 45 Light"/>
        </w:rPr>
      </w:pPr>
    </w:p>
    <w:p w:rsidR="00FE76D4" w:rsidRDefault="00FE76D4" w:rsidP="00F325CB">
      <w:pPr>
        <w:jc w:val="both"/>
        <w:rPr>
          <w:rFonts w:ascii="Frutiger 45 Light" w:hAnsi="Frutiger 45 Light"/>
        </w:rPr>
      </w:pPr>
      <w:bookmarkStart w:id="0" w:name="_GoBack"/>
      <w:bookmarkEnd w:id="0"/>
    </w:p>
    <w:p w:rsidR="004D22CE" w:rsidRDefault="00FE76D4"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ge">
                  <wp:posOffset>897890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5pt;margin-top:70.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r w:rsidR="00C2625F">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436481" w:rsidRDefault="00436481" w:rsidP="00F325CB">
      <w:pPr>
        <w:jc w:val="both"/>
        <w:rPr>
          <w:rFonts w:ascii="Frutiger 45 Light" w:hAnsi="Frutiger 45 Light"/>
        </w:rPr>
      </w:pPr>
    </w:p>
    <w:p w:rsidR="00436481" w:rsidRDefault="00436481"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3B11D2" w:rsidRPr="00121062" w:rsidRDefault="00064B2E" w:rsidP="008C11C2">
      <w:pPr>
        <w:jc w:val="center"/>
        <w:rPr>
          <w:rFonts w:ascii="Arial" w:hAnsi="Arial" w:cs="Arial"/>
          <w:b/>
          <w:sz w:val="20"/>
          <w:szCs w:val="20"/>
        </w:rPr>
      </w:pPr>
      <w:r w:rsidRPr="00121062">
        <w:rPr>
          <w:rFonts w:ascii="Arial" w:hAnsi="Arial" w:cs="Arial"/>
          <w:b/>
          <w:sz w:val="20"/>
          <w:szCs w:val="20"/>
        </w:rPr>
        <w:t xml:space="preserve">Minutes of </w:t>
      </w:r>
      <w:r w:rsidR="000E44A9" w:rsidRPr="00121062">
        <w:rPr>
          <w:rFonts w:ascii="Arial" w:hAnsi="Arial" w:cs="Arial"/>
          <w:b/>
          <w:sz w:val="20"/>
          <w:szCs w:val="20"/>
        </w:rPr>
        <w:t>the meeting of the</w:t>
      </w:r>
      <w:r w:rsidR="003B11D2" w:rsidRPr="00121062">
        <w:rPr>
          <w:rFonts w:ascii="Arial" w:hAnsi="Arial" w:cs="Arial"/>
          <w:b/>
          <w:sz w:val="20"/>
          <w:szCs w:val="20"/>
        </w:rPr>
        <w:t xml:space="preserve"> School Reference Group </w:t>
      </w:r>
      <w:r w:rsidR="008C11C2" w:rsidRPr="00121062">
        <w:rPr>
          <w:rFonts w:ascii="Arial" w:hAnsi="Arial" w:cs="Arial"/>
          <w:b/>
          <w:sz w:val="20"/>
          <w:szCs w:val="20"/>
        </w:rPr>
        <w:t xml:space="preserve">held at </w:t>
      </w:r>
      <w:r w:rsidR="003D153F" w:rsidRPr="00121062">
        <w:rPr>
          <w:rFonts w:ascii="Arial" w:hAnsi="Arial" w:cs="Arial"/>
          <w:b/>
          <w:sz w:val="20"/>
          <w:szCs w:val="20"/>
        </w:rPr>
        <w:t>1pm</w:t>
      </w:r>
      <w:r w:rsidR="00F4133E" w:rsidRPr="00121062">
        <w:rPr>
          <w:rFonts w:ascii="Arial" w:hAnsi="Arial" w:cs="Arial"/>
          <w:b/>
          <w:sz w:val="20"/>
          <w:szCs w:val="20"/>
        </w:rPr>
        <w:t xml:space="preserve"> </w:t>
      </w:r>
      <w:r w:rsidR="008C11C2" w:rsidRPr="00121062">
        <w:rPr>
          <w:rFonts w:ascii="Arial" w:hAnsi="Arial" w:cs="Arial"/>
          <w:b/>
          <w:sz w:val="20"/>
          <w:szCs w:val="20"/>
        </w:rPr>
        <w:t xml:space="preserve">on </w:t>
      </w:r>
      <w:r w:rsidR="003B11D2" w:rsidRPr="00121062">
        <w:rPr>
          <w:rFonts w:ascii="Arial" w:hAnsi="Arial" w:cs="Arial"/>
          <w:b/>
          <w:sz w:val="20"/>
          <w:szCs w:val="20"/>
        </w:rPr>
        <w:t xml:space="preserve">Wednesday </w:t>
      </w:r>
      <w:r w:rsidR="00942938">
        <w:rPr>
          <w:rFonts w:ascii="Arial" w:hAnsi="Arial" w:cs="Arial"/>
          <w:b/>
          <w:sz w:val="20"/>
          <w:szCs w:val="20"/>
        </w:rPr>
        <w:t>26 February 2020</w:t>
      </w:r>
      <w:r w:rsidR="00DC2E66" w:rsidRPr="00121062">
        <w:rPr>
          <w:rFonts w:ascii="Arial" w:hAnsi="Arial" w:cs="Arial"/>
          <w:b/>
          <w:sz w:val="20"/>
          <w:szCs w:val="20"/>
        </w:rPr>
        <w:t xml:space="preserve"> </w:t>
      </w:r>
      <w:r w:rsidR="006B1039" w:rsidRPr="00121062">
        <w:rPr>
          <w:rFonts w:ascii="Arial" w:hAnsi="Arial" w:cs="Arial"/>
          <w:b/>
          <w:sz w:val="20"/>
          <w:szCs w:val="20"/>
        </w:rPr>
        <w:t>a</w:t>
      </w:r>
      <w:r w:rsidR="003D153F" w:rsidRPr="00121062">
        <w:rPr>
          <w:rFonts w:ascii="Arial" w:hAnsi="Arial" w:cs="Arial"/>
          <w:b/>
          <w:sz w:val="20"/>
          <w:szCs w:val="20"/>
        </w:rPr>
        <w:t xml:space="preserve">t </w:t>
      </w:r>
      <w:r w:rsidR="005B020F" w:rsidRPr="00121062">
        <w:rPr>
          <w:rFonts w:ascii="Arial" w:hAnsi="Arial" w:cs="Arial"/>
          <w:b/>
          <w:sz w:val="20"/>
          <w:szCs w:val="20"/>
        </w:rPr>
        <w:t xml:space="preserve">Woburn </w:t>
      </w:r>
      <w:r w:rsidR="003D153F" w:rsidRPr="00121062">
        <w:rPr>
          <w:rFonts w:ascii="Arial" w:hAnsi="Arial" w:cs="Arial"/>
          <w:b/>
          <w:sz w:val="20"/>
          <w:szCs w:val="20"/>
        </w:rPr>
        <w:t xml:space="preserve">House, </w:t>
      </w:r>
      <w:r w:rsidR="005B020F" w:rsidRPr="00121062">
        <w:rPr>
          <w:rFonts w:ascii="Arial" w:hAnsi="Arial" w:cs="Arial"/>
          <w:b/>
          <w:sz w:val="20"/>
          <w:szCs w:val="20"/>
        </w:rPr>
        <w:t xml:space="preserve">Tavistock Square, London WC1H 9HQ </w:t>
      </w:r>
    </w:p>
    <w:p w:rsidR="003B11D2" w:rsidRPr="00121062" w:rsidRDefault="003B11D2" w:rsidP="008C11C2">
      <w:pPr>
        <w:jc w:val="center"/>
        <w:rPr>
          <w:rFonts w:ascii="Arial" w:hAnsi="Arial" w:cs="Arial"/>
          <w:b/>
          <w:sz w:val="20"/>
          <w:szCs w:val="20"/>
        </w:rPr>
      </w:pPr>
    </w:p>
    <w:p w:rsidR="00A82F97" w:rsidRPr="00121062" w:rsidRDefault="00A82F97" w:rsidP="00882516">
      <w:pPr>
        <w:rPr>
          <w:rFonts w:ascii="Arial" w:hAnsi="Arial" w:cs="Arial"/>
          <w:sz w:val="20"/>
          <w:szCs w:val="20"/>
        </w:rPr>
      </w:pPr>
    </w:p>
    <w:p w:rsidR="00882516" w:rsidRPr="00121062" w:rsidRDefault="00882516" w:rsidP="00882516">
      <w:pPr>
        <w:rPr>
          <w:rFonts w:ascii="Arial" w:hAnsi="Arial" w:cs="Arial"/>
          <w:sz w:val="20"/>
          <w:szCs w:val="20"/>
          <w:u w:val="single"/>
        </w:rPr>
      </w:pPr>
      <w:r w:rsidRPr="00121062">
        <w:rPr>
          <w:rFonts w:ascii="Arial" w:hAnsi="Arial" w:cs="Arial"/>
          <w:sz w:val="20"/>
          <w:szCs w:val="20"/>
          <w:u w:val="single"/>
        </w:rPr>
        <w:t>Present</w:t>
      </w:r>
    </w:p>
    <w:p w:rsidR="00882516" w:rsidRPr="00121062" w:rsidRDefault="00882516" w:rsidP="00882516">
      <w:pPr>
        <w:rPr>
          <w:rFonts w:ascii="Arial" w:hAnsi="Arial" w:cs="Arial"/>
          <w:sz w:val="20"/>
          <w:szCs w:val="20"/>
          <w:u w:val="single"/>
        </w:rPr>
      </w:pPr>
    </w:p>
    <w:p w:rsidR="00595E10" w:rsidRDefault="00595E10" w:rsidP="00882516">
      <w:pPr>
        <w:rPr>
          <w:rFonts w:ascii="Arial" w:hAnsi="Arial" w:cs="Arial"/>
          <w:sz w:val="20"/>
          <w:szCs w:val="20"/>
        </w:rPr>
      </w:pPr>
      <w:r>
        <w:rPr>
          <w:rFonts w:ascii="Arial" w:hAnsi="Arial" w:cs="Arial"/>
          <w:sz w:val="20"/>
          <w:szCs w:val="20"/>
        </w:rPr>
        <w:t>Chris Buckley (YITSA)</w:t>
      </w:r>
    </w:p>
    <w:p w:rsidR="00882516" w:rsidRPr="00121062" w:rsidRDefault="00217E88" w:rsidP="00882516">
      <w:pPr>
        <w:rPr>
          <w:rFonts w:ascii="Arial" w:hAnsi="Arial" w:cs="Arial"/>
          <w:sz w:val="20"/>
          <w:szCs w:val="20"/>
        </w:rPr>
      </w:pPr>
      <w:r>
        <w:rPr>
          <w:rFonts w:ascii="Arial" w:hAnsi="Arial" w:cs="Arial"/>
          <w:sz w:val="20"/>
          <w:szCs w:val="20"/>
        </w:rPr>
        <w:t>Jake Capper, Archbishop Holgate</w:t>
      </w:r>
      <w:r w:rsidR="00882516" w:rsidRPr="00121062">
        <w:rPr>
          <w:rFonts w:ascii="Arial" w:hAnsi="Arial" w:cs="Arial"/>
          <w:sz w:val="20"/>
          <w:szCs w:val="20"/>
        </w:rPr>
        <w:t xml:space="preserve"> School (Vice Chair</w:t>
      </w:r>
      <w:r w:rsidR="00942938">
        <w:rPr>
          <w:rFonts w:ascii="Arial" w:hAnsi="Arial" w:cs="Arial"/>
          <w:sz w:val="20"/>
          <w:szCs w:val="20"/>
        </w:rPr>
        <w:t>, and Chair of meeting</w:t>
      </w:r>
      <w:r w:rsidR="00882516" w:rsidRPr="00121062">
        <w:rPr>
          <w:rFonts w:ascii="Arial" w:hAnsi="Arial" w:cs="Arial"/>
          <w:sz w:val="20"/>
          <w:szCs w:val="20"/>
        </w:rPr>
        <w:t>)</w:t>
      </w:r>
    </w:p>
    <w:p w:rsidR="00217E88" w:rsidRDefault="00217E88" w:rsidP="00882516">
      <w:pPr>
        <w:rPr>
          <w:rFonts w:ascii="Arial" w:hAnsi="Arial" w:cs="Arial"/>
          <w:sz w:val="20"/>
          <w:szCs w:val="20"/>
        </w:rPr>
      </w:pPr>
      <w:r>
        <w:rPr>
          <w:rFonts w:ascii="Arial" w:hAnsi="Arial" w:cs="Arial"/>
          <w:sz w:val="20"/>
          <w:szCs w:val="20"/>
        </w:rPr>
        <w:t>Spencer Hennessy (Emanuel College, Gateshead)</w:t>
      </w:r>
    </w:p>
    <w:p w:rsidR="00882516" w:rsidRPr="00121062" w:rsidRDefault="00882516" w:rsidP="00882516">
      <w:pPr>
        <w:rPr>
          <w:rFonts w:ascii="Arial" w:hAnsi="Arial" w:cs="Arial"/>
          <w:sz w:val="20"/>
          <w:szCs w:val="20"/>
        </w:rPr>
      </w:pPr>
      <w:r w:rsidRPr="00121062">
        <w:rPr>
          <w:rFonts w:ascii="Arial" w:hAnsi="Arial" w:cs="Arial"/>
          <w:sz w:val="20"/>
          <w:szCs w:val="20"/>
        </w:rPr>
        <w:t>James Noble-Rogers (UCET</w:t>
      </w:r>
      <w:r w:rsidR="00CC0BDA" w:rsidRPr="00121062">
        <w:rPr>
          <w:rFonts w:ascii="Arial" w:hAnsi="Arial" w:cs="Arial"/>
          <w:sz w:val="20"/>
          <w:szCs w:val="20"/>
        </w:rPr>
        <w:t>)</w:t>
      </w:r>
    </w:p>
    <w:p w:rsidR="00882516" w:rsidRPr="00121062" w:rsidRDefault="00942938" w:rsidP="00882516">
      <w:pPr>
        <w:rPr>
          <w:rFonts w:ascii="Arial" w:hAnsi="Arial" w:cs="Arial"/>
          <w:sz w:val="20"/>
          <w:szCs w:val="20"/>
        </w:rPr>
      </w:pPr>
      <w:r>
        <w:rPr>
          <w:rFonts w:ascii="Arial" w:hAnsi="Arial" w:cs="Arial"/>
          <w:sz w:val="20"/>
          <w:szCs w:val="20"/>
        </w:rPr>
        <w:t>Jackie Moses (UCET)</w:t>
      </w:r>
    </w:p>
    <w:p w:rsidR="00882516" w:rsidRPr="00121062" w:rsidRDefault="00882516" w:rsidP="00882516">
      <w:pPr>
        <w:rPr>
          <w:rFonts w:ascii="Arial" w:hAnsi="Arial" w:cs="Arial"/>
          <w:sz w:val="20"/>
          <w:szCs w:val="20"/>
        </w:rPr>
      </w:pPr>
      <w:r w:rsidRPr="00121062">
        <w:rPr>
          <w:rFonts w:ascii="Arial" w:hAnsi="Arial" w:cs="Arial"/>
          <w:sz w:val="20"/>
          <w:szCs w:val="20"/>
        </w:rPr>
        <w:t>Brian Rock, Ebor Hope TSA</w:t>
      </w:r>
    </w:p>
    <w:p w:rsidR="005669ED" w:rsidRPr="00121062" w:rsidRDefault="005669ED" w:rsidP="00882516">
      <w:pPr>
        <w:rPr>
          <w:rFonts w:ascii="Arial" w:hAnsi="Arial" w:cs="Arial"/>
          <w:sz w:val="20"/>
          <w:szCs w:val="20"/>
        </w:rPr>
      </w:pPr>
    </w:p>
    <w:p w:rsidR="00AA4E39" w:rsidRPr="00121062" w:rsidRDefault="00AA4E39" w:rsidP="00882516">
      <w:pPr>
        <w:rPr>
          <w:rFonts w:ascii="Arial" w:hAnsi="Arial" w:cs="Arial"/>
          <w:sz w:val="20"/>
          <w:szCs w:val="20"/>
          <w:u w:val="single"/>
        </w:rPr>
      </w:pPr>
      <w:r w:rsidRPr="00121062">
        <w:rPr>
          <w:rFonts w:ascii="Arial" w:hAnsi="Arial" w:cs="Arial"/>
          <w:sz w:val="20"/>
          <w:szCs w:val="20"/>
          <w:u w:val="single"/>
        </w:rPr>
        <w:t>Welcome &amp; introductions</w:t>
      </w:r>
    </w:p>
    <w:p w:rsidR="00882516" w:rsidRPr="00121062" w:rsidRDefault="00882516" w:rsidP="00882516">
      <w:pPr>
        <w:rPr>
          <w:rFonts w:ascii="Arial" w:hAnsi="Arial" w:cs="Arial"/>
          <w:sz w:val="20"/>
          <w:szCs w:val="20"/>
        </w:rPr>
      </w:pPr>
    </w:p>
    <w:p w:rsidR="00882516" w:rsidRPr="00121062" w:rsidRDefault="00942938" w:rsidP="00882516">
      <w:pPr>
        <w:pStyle w:val="ListParagraph"/>
        <w:numPr>
          <w:ilvl w:val="0"/>
          <w:numId w:val="32"/>
        </w:numPr>
        <w:rPr>
          <w:rFonts w:ascii="Arial" w:hAnsi="Arial" w:cs="Arial"/>
          <w:sz w:val="20"/>
          <w:szCs w:val="20"/>
        </w:rPr>
      </w:pPr>
      <w:r>
        <w:rPr>
          <w:rFonts w:ascii="Arial" w:hAnsi="Arial" w:cs="Arial"/>
          <w:sz w:val="20"/>
          <w:szCs w:val="20"/>
        </w:rPr>
        <w:t>Collea</w:t>
      </w:r>
      <w:r w:rsidR="00AA4E39" w:rsidRPr="00121062">
        <w:rPr>
          <w:rFonts w:ascii="Arial" w:hAnsi="Arial" w:cs="Arial"/>
          <w:sz w:val="20"/>
          <w:szCs w:val="20"/>
        </w:rPr>
        <w:t>gues were welcomed to the</w:t>
      </w:r>
      <w:r>
        <w:rPr>
          <w:rFonts w:ascii="Arial" w:hAnsi="Arial" w:cs="Arial"/>
          <w:sz w:val="20"/>
          <w:szCs w:val="20"/>
        </w:rPr>
        <w:t xml:space="preserve"> second </w:t>
      </w:r>
      <w:r w:rsidR="00AA4E39" w:rsidRPr="00121062">
        <w:rPr>
          <w:rFonts w:ascii="Arial" w:hAnsi="Arial" w:cs="Arial"/>
          <w:sz w:val="20"/>
          <w:szCs w:val="20"/>
        </w:rPr>
        <w:t>meeting of 2019/20</w:t>
      </w:r>
      <w:r>
        <w:rPr>
          <w:rFonts w:ascii="Arial" w:hAnsi="Arial" w:cs="Arial"/>
          <w:sz w:val="20"/>
          <w:szCs w:val="20"/>
        </w:rPr>
        <w:t xml:space="preserve">. Jake Capper was congratulated on his recent appointment as head teacher. </w:t>
      </w:r>
      <w:r w:rsidR="00AA4E39" w:rsidRPr="00121062">
        <w:rPr>
          <w:rFonts w:ascii="Arial" w:hAnsi="Arial" w:cs="Arial"/>
          <w:sz w:val="20"/>
          <w:szCs w:val="20"/>
        </w:rPr>
        <w:t xml:space="preserve"> </w:t>
      </w:r>
    </w:p>
    <w:p w:rsidR="00AA4E39" w:rsidRPr="00121062" w:rsidRDefault="00AA4E39" w:rsidP="00AA4E39">
      <w:pPr>
        <w:rPr>
          <w:rFonts w:ascii="Arial" w:hAnsi="Arial" w:cs="Arial"/>
          <w:sz w:val="20"/>
          <w:szCs w:val="20"/>
        </w:rPr>
      </w:pPr>
    </w:p>
    <w:p w:rsidR="00FE7278" w:rsidRPr="00121062" w:rsidRDefault="00FE7278" w:rsidP="00FE7278">
      <w:pPr>
        <w:rPr>
          <w:rFonts w:ascii="Arial" w:hAnsi="Arial" w:cs="Arial"/>
          <w:sz w:val="20"/>
          <w:szCs w:val="20"/>
        </w:rPr>
      </w:pPr>
      <w:r w:rsidRPr="00121062">
        <w:rPr>
          <w:rFonts w:ascii="Arial" w:hAnsi="Arial" w:cs="Arial"/>
          <w:sz w:val="20"/>
          <w:szCs w:val="20"/>
          <w:u w:val="single"/>
        </w:rPr>
        <w:t>Minutes of the previous meeting</w:t>
      </w:r>
    </w:p>
    <w:p w:rsidR="00FE7278" w:rsidRPr="00121062" w:rsidRDefault="00FE7278" w:rsidP="00FE7278">
      <w:pPr>
        <w:rPr>
          <w:rFonts w:ascii="Arial" w:hAnsi="Arial" w:cs="Arial"/>
          <w:sz w:val="20"/>
          <w:szCs w:val="20"/>
        </w:rPr>
      </w:pPr>
    </w:p>
    <w:p w:rsidR="00FE7278" w:rsidRPr="00121062" w:rsidRDefault="00FE7278" w:rsidP="00E237F6">
      <w:pPr>
        <w:pStyle w:val="ListParagraph"/>
        <w:numPr>
          <w:ilvl w:val="0"/>
          <w:numId w:val="32"/>
        </w:numPr>
        <w:rPr>
          <w:rFonts w:ascii="Arial" w:hAnsi="Arial" w:cs="Arial"/>
          <w:sz w:val="20"/>
          <w:szCs w:val="20"/>
        </w:rPr>
      </w:pPr>
      <w:r w:rsidRPr="00121062">
        <w:rPr>
          <w:rFonts w:ascii="Arial" w:hAnsi="Arial" w:cs="Arial"/>
          <w:sz w:val="20"/>
          <w:szCs w:val="20"/>
        </w:rPr>
        <w:t xml:space="preserve">The minutes of the meeting held on </w:t>
      </w:r>
      <w:r w:rsidR="00942938">
        <w:rPr>
          <w:rFonts w:ascii="Arial" w:hAnsi="Arial" w:cs="Arial"/>
          <w:sz w:val="20"/>
          <w:szCs w:val="20"/>
        </w:rPr>
        <w:t>16 October 2019</w:t>
      </w:r>
      <w:r w:rsidRPr="00121062">
        <w:rPr>
          <w:rFonts w:ascii="Arial" w:hAnsi="Arial" w:cs="Arial"/>
          <w:sz w:val="20"/>
          <w:szCs w:val="20"/>
        </w:rPr>
        <w:t xml:space="preserve"> were agreed. </w:t>
      </w:r>
      <w:r w:rsidR="000B4530">
        <w:rPr>
          <w:rFonts w:ascii="Arial" w:hAnsi="Arial" w:cs="Arial"/>
          <w:sz w:val="20"/>
          <w:szCs w:val="20"/>
        </w:rPr>
        <w:t>On matters arising, concern was expressed that only direct mentoring</w:t>
      </w:r>
      <w:r w:rsidR="005E6409">
        <w:rPr>
          <w:rFonts w:ascii="Arial" w:hAnsi="Arial" w:cs="Arial"/>
          <w:sz w:val="20"/>
          <w:szCs w:val="20"/>
        </w:rPr>
        <w:t xml:space="preserve"> under the ECF</w:t>
      </w:r>
      <w:r w:rsidR="000B4530">
        <w:rPr>
          <w:rFonts w:ascii="Arial" w:hAnsi="Arial" w:cs="Arial"/>
          <w:sz w:val="20"/>
          <w:szCs w:val="20"/>
        </w:rPr>
        <w:t xml:space="preserve">, not preparation time, would be centrally funded. </w:t>
      </w:r>
      <w:r w:rsidR="009D0A8C" w:rsidRPr="00121062">
        <w:rPr>
          <w:rFonts w:ascii="Arial" w:hAnsi="Arial" w:cs="Arial"/>
          <w:sz w:val="20"/>
          <w:szCs w:val="20"/>
        </w:rPr>
        <w:t xml:space="preserve"> </w:t>
      </w:r>
    </w:p>
    <w:p w:rsidR="00FE7278" w:rsidRPr="00121062" w:rsidRDefault="00FE7278" w:rsidP="00FE7278">
      <w:pPr>
        <w:rPr>
          <w:rFonts w:ascii="Arial" w:hAnsi="Arial" w:cs="Arial"/>
          <w:sz w:val="20"/>
          <w:szCs w:val="20"/>
          <w:u w:val="single"/>
        </w:rPr>
      </w:pPr>
    </w:p>
    <w:p w:rsidR="00FE7278" w:rsidRPr="00121062" w:rsidRDefault="00FE7278" w:rsidP="00FE7278">
      <w:pPr>
        <w:rPr>
          <w:rFonts w:ascii="Arial" w:hAnsi="Arial" w:cs="Arial"/>
          <w:sz w:val="20"/>
          <w:szCs w:val="20"/>
          <w:u w:val="single"/>
        </w:rPr>
      </w:pPr>
      <w:r w:rsidRPr="00121062">
        <w:rPr>
          <w:rFonts w:ascii="Arial" w:hAnsi="Arial" w:cs="Arial"/>
          <w:sz w:val="20"/>
          <w:szCs w:val="20"/>
          <w:u w:val="single"/>
        </w:rPr>
        <w:t>Updates</w:t>
      </w:r>
      <w:r w:rsidRPr="00121062">
        <w:rPr>
          <w:rFonts w:ascii="Arial" w:hAnsi="Arial" w:cs="Arial"/>
          <w:sz w:val="20"/>
          <w:szCs w:val="20"/>
        </w:rPr>
        <w:t xml:space="preserve"> </w:t>
      </w:r>
    </w:p>
    <w:p w:rsidR="00FE7278" w:rsidRPr="00121062" w:rsidRDefault="00FE7278" w:rsidP="00FE7278">
      <w:pPr>
        <w:rPr>
          <w:rFonts w:ascii="Arial" w:hAnsi="Arial" w:cs="Arial"/>
          <w:sz w:val="20"/>
          <w:szCs w:val="20"/>
          <w:u w:val="single"/>
        </w:rPr>
      </w:pPr>
    </w:p>
    <w:p w:rsidR="00FE7278" w:rsidRPr="00121062" w:rsidRDefault="00FE7278" w:rsidP="00FE7278">
      <w:pPr>
        <w:pStyle w:val="ListParagraph"/>
        <w:numPr>
          <w:ilvl w:val="0"/>
          <w:numId w:val="32"/>
        </w:numPr>
        <w:rPr>
          <w:rFonts w:ascii="Arial" w:hAnsi="Arial" w:cs="Arial"/>
          <w:sz w:val="20"/>
          <w:szCs w:val="20"/>
        </w:rPr>
      </w:pPr>
      <w:r w:rsidRPr="00121062">
        <w:rPr>
          <w:rFonts w:ascii="Arial" w:hAnsi="Arial" w:cs="Arial"/>
          <w:sz w:val="20"/>
          <w:szCs w:val="20"/>
        </w:rPr>
        <w:t>The following updates were provide</w:t>
      </w:r>
      <w:r w:rsidR="00CC0BDA" w:rsidRPr="00121062">
        <w:rPr>
          <w:rFonts w:ascii="Arial" w:hAnsi="Arial" w:cs="Arial"/>
          <w:sz w:val="20"/>
          <w:szCs w:val="20"/>
        </w:rPr>
        <w:t>d</w:t>
      </w:r>
      <w:r w:rsidRPr="00121062">
        <w:rPr>
          <w:rFonts w:ascii="Arial" w:hAnsi="Arial" w:cs="Arial"/>
          <w:sz w:val="20"/>
          <w:szCs w:val="20"/>
        </w:rPr>
        <w:t>:</w:t>
      </w:r>
    </w:p>
    <w:p w:rsidR="00FE7278" w:rsidRPr="00121062" w:rsidRDefault="00FE7278" w:rsidP="00FE7278">
      <w:pPr>
        <w:rPr>
          <w:rFonts w:ascii="Arial" w:hAnsi="Arial" w:cs="Arial"/>
          <w:sz w:val="20"/>
          <w:szCs w:val="20"/>
        </w:rPr>
      </w:pPr>
    </w:p>
    <w:p w:rsidR="000B4530" w:rsidRDefault="000B4530" w:rsidP="00FE7278">
      <w:pPr>
        <w:pStyle w:val="ListParagraph"/>
        <w:numPr>
          <w:ilvl w:val="0"/>
          <w:numId w:val="33"/>
        </w:numPr>
        <w:rPr>
          <w:rFonts w:ascii="Arial" w:hAnsi="Arial" w:cs="Arial"/>
          <w:sz w:val="20"/>
          <w:szCs w:val="20"/>
        </w:rPr>
      </w:pPr>
      <w:r>
        <w:rPr>
          <w:rFonts w:ascii="Arial" w:hAnsi="Arial" w:cs="Arial"/>
          <w:sz w:val="20"/>
          <w:szCs w:val="20"/>
        </w:rPr>
        <w:t xml:space="preserve">UCET was in the process of developing a new strategic plan, which would be informed by the four key characteristics of properly educated teachers developed (amongst other things) by the Intellectual Base of Teacher Education (IBTA) group. </w:t>
      </w:r>
    </w:p>
    <w:p w:rsidR="000B4530" w:rsidRPr="00E50DE2" w:rsidRDefault="000B4530" w:rsidP="007D1324">
      <w:pPr>
        <w:pStyle w:val="ListParagraph"/>
        <w:numPr>
          <w:ilvl w:val="0"/>
          <w:numId w:val="33"/>
        </w:numPr>
        <w:rPr>
          <w:rFonts w:ascii="Arial" w:hAnsi="Arial" w:cs="Arial"/>
          <w:sz w:val="20"/>
          <w:szCs w:val="20"/>
        </w:rPr>
      </w:pPr>
      <w:r w:rsidRPr="00E50DE2">
        <w:rPr>
          <w:rFonts w:ascii="Arial" w:hAnsi="Arial" w:cs="Arial"/>
          <w:sz w:val="20"/>
          <w:szCs w:val="20"/>
        </w:rPr>
        <w:t xml:space="preserve">The UCET December 2019 Christmas newsletter was noted. </w:t>
      </w:r>
      <w:r w:rsidR="005E6409">
        <w:rPr>
          <w:rFonts w:ascii="Arial" w:hAnsi="Arial" w:cs="Arial"/>
          <w:sz w:val="20"/>
          <w:szCs w:val="20"/>
        </w:rPr>
        <w:br/>
      </w:r>
    </w:p>
    <w:p w:rsidR="000B4530" w:rsidRPr="000B4530" w:rsidRDefault="000B4530" w:rsidP="000B4530">
      <w:pPr>
        <w:rPr>
          <w:rFonts w:ascii="Arial" w:hAnsi="Arial" w:cs="Arial"/>
          <w:sz w:val="20"/>
          <w:szCs w:val="20"/>
          <w:u w:val="single"/>
        </w:rPr>
      </w:pPr>
      <w:r>
        <w:rPr>
          <w:rFonts w:ascii="Arial" w:hAnsi="Arial" w:cs="Arial"/>
          <w:sz w:val="20"/>
          <w:szCs w:val="20"/>
          <w:u w:val="single"/>
        </w:rPr>
        <w:t>Discussions</w:t>
      </w:r>
      <w:r>
        <w:rPr>
          <w:rFonts w:ascii="Arial" w:hAnsi="Arial" w:cs="Arial"/>
          <w:sz w:val="20"/>
          <w:szCs w:val="20"/>
          <w:u w:val="single"/>
        </w:rPr>
        <w:br/>
      </w:r>
    </w:p>
    <w:p w:rsidR="000B4530" w:rsidRDefault="000B4530" w:rsidP="00FE7278">
      <w:pPr>
        <w:pStyle w:val="ListParagraph"/>
        <w:numPr>
          <w:ilvl w:val="0"/>
          <w:numId w:val="33"/>
        </w:numPr>
        <w:rPr>
          <w:rFonts w:ascii="Arial" w:hAnsi="Arial" w:cs="Arial"/>
          <w:sz w:val="20"/>
          <w:szCs w:val="20"/>
        </w:rPr>
      </w:pPr>
      <w:r>
        <w:rPr>
          <w:rFonts w:ascii="Arial" w:hAnsi="Arial" w:cs="Arial"/>
          <w:sz w:val="20"/>
          <w:szCs w:val="20"/>
        </w:rPr>
        <w:t xml:space="preserve">UCET had convened a round table to discuss </w:t>
      </w:r>
      <w:r w:rsidRPr="000B4530">
        <w:rPr>
          <w:rFonts w:ascii="Arial" w:hAnsi="Arial" w:cs="Arial"/>
          <w:i/>
          <w:sz w:val="20"/>
          <w:szCs w:val="20"/>
        </w:rPr>
        <w:t xml:space="preserve">SEND in ITE </w:t>
      </w:r>
      <w:r>
        <w:rPr>
          <w:rFonts w:ascii="Arial" w:hAnsi="Arial" w:cs="Arial"/>
          <w:sz w:val="20"/>
          <w:szCs w:val="20"/>
        </w:rPr>
        <w:t>issues. A resulting paper would be circulated in due course and discussed in detail at a subsequent meeting.</w:t>
      </w:r>
    </w:p>
    <w:p w:rsidR="00E50DE2" w:rsidRPr="00E50DE2" w:rsidRDefault="000B4530" w:rsidP="002E5005">
      <w:pPr>
        <w:pStyle w:val="ListParagraph"/>
        <w:numPr>
          <w:ilvl w:val="0"/>
          <w:numId w:val="33"/>
        </w:numPr>
        <w:rPr>
          <w:rFonts w:ascii="Arial" w:hAnsi="Arial" w:cs="Arial"/>
          <w:sz w:val="20"/>
          <w:szCs w:val="20"/>
        </w:rPr>
      </w:pPr>
      <w:r w:rsidRPr="00E50DE2">
        <w:rPr>
          <w:rFonts w:ascii="Arial" w:hAnsi="Arial" w:cs="Arial"/>
          <w:sz w:val="20"/>
          <w:szCs w:val="20"/>
        </w:rPr>
        <w:t xml:space="preserve">The </w:t>
      </w:r>
      <w:r w:rsidRPr="00E50DE2">
        <w:rPr>
          <w:rFonts w:ascii="Arial" w:hAnsi="Arial" w:cs="Arial"/>
          <w:i/>
          <w:sz w:val="20"/>
          <w:szCs w:val="20"/>
        </w:rPr>
        <w:t>ITE core content framework</w:t>
      </w:r>
      <w:r w:rsidRPr="00E50DE2">
        <w:rPr>
          <w:rFonts w:ascii="Arial" w:hAnsi="Arial" w:cs="Arial"/>
          <w:sz w:val="20"/>
          <w:szCs w:val="20"/>
        </w:rPr>
        <w:t xml:space="preserve"> </w:t>
      </w:r>
      <w:r w:rsidRPr="00E50DE2">
        <w:rPr>
          <w:rFonts w:ascii="Arial" w:hAnsi="Arial" w:cs="Arial"/>
          <w:i/>
          <w:sz w:val="20"/>
          <w:szCs w:val="20"/>
        </w:rPr>
        <w:t>(CCF)</w:t>
      </w:r>
      <w:r w:rsidRPr="00E50DE2">
        <w:rPr>
          <w:rFonts w:ascii="Arial" w:hAnsi="Arial" w:cs="Arial"/>
          <w:sz w:val="20"/>
          <w:szCs w:val="20"/>
        </w:rPr>
        <w:t xml:space="preserve"> and </w:t>
      </w:r>
      <w:r w:rsidRPr="00E50DE2">
        <w:rPr>
          <w:rFonts w:ascii="Arial" w:hAnsi="Arial" w:cs="Arial"/>
          <w:i/>
          <w:sz w:val="20"/>
          <w:szCs w:val="20"/>
        </w:rPr>
        <w:t>OfSTED draft ITE inspection framework</w:t>
      </w:r>
      <w:r w:rsidRPr="00E50DE2">
        <w:rPr>
          <w:rFonts w:ascii="Arial" w:hAnsi="Arial" w:cs="Arial"/>
          <w:sz w:val="20"/>
          <w:szCs w:val="20"/>
        </w:rPr>
        <w:t xml:space="preserve"> had both been published, with the CCF becoming mandatory for all ITE programmes from September 2020. </w:t>
      </w:r>
      <w:r w:rsidR="00E50DE2" w:rsidRPr="00E50DE2">
        <w:rPr>
          <w:rFonts w:ascii="Arial" w:hAnsi="Arial" w:cs="Arial"/>
          <w:sz w:val="20"/>
          <w:szCs w:val="20"/>
        </w:rPr>
        <w:t>SRG members were broadly content with the CCF, as much of it was covered in programmes already, provided OfSTED allowed scope for it to be addressed with appropriate acad</w:t>
      </w:r>
      <w:r w:rsidR="005E6409">
        <w:rPr>
          <w:rFonts w:ascii="Arial" w:hAnsi="Arial" w:cs="Arial"/>
          <w:sz w:val="20"/>
          <w:szCs w:val="20"/>
        </w:rPr>
        <w:t xml:space="preserve">emic rigor. Concern was </w:t>
      </w:r>
      <w:r w:rsidR="00E50DE2" w:rsidRPr="00E50DE2">
        <w:rPr>
          <w:rFonts w:ascii="Arial" w:hAnsi="Arial" w:cs="Arial"/>
          <w:sz w:val="20"/>
          <w:szCs w:val="20"/>
        </w:rPr>
        <w:t>expressed about the prohibition in the draft inspection framework to assessing student teachers against the teacher standards part-way through programmes. ITE providers would, it was pointed out, need a way to ensure students were on the right trajectory, and there were fears that students might have legitimate grounds for complaint should they be assessed at the end of their programmes as not meeting the standards with no prior indication.</w:t>
      </w:r>
    </w:p>
    <w:p w:rsidR="00436481" w:rsidRDefault="00436481">
      <w:pPr>
        <w:rPr>
          <w:rFonts w:ascii="Arial" w:hAnsi="Arial" w:cs="Arial"/>
          <w:sz w:val="20"/>
          <w:szCs w:val="20"/>
          <w:u w:val="single"/>
        </w:rPr>
      </w:pPr>
      <w:r>
        <w:rPr>
          <w:rFonts w:ascii="Arial" w:hAnsi="Arial" w:cs="Arial"/>
          <w:sz w:val="20"/>
          <w:szCs w:val="20"/>
          <w:u w:val="single"/>
        </w:rPr>
        <w:br w:type="page"/>
      </w:r>
    </w:p>
    <w:p w:rsidR="00E93657" w:rsidRDefault="00E93657" w:rsidP="001905D6">
      <w:pPr>
        <w:rPr>
          <w:rFonts w:ascii="Arial" w:hAnsi="Arial" w:cs="Arial"/>
          <w:sz w:val="20"/>
          <w:szCs w:val="20"/>
          <w:u w:val="single"/>
        </w:rPr>
      </w:pPr>
    </w:p>
    <w:p w:rsidR="00E93657" w:rsidRDefault="00E93657" w:rsidP="001905D6">
      <w:pPr>
        <w:rPr>
          <w:rFonts w:ascii="Arial" w:hAnsi="Arial" w:cs="Arial"/>
          <w:sz w:val="20"/>
          <w:szCs w:val="20"/>
        </w:rPr>
      </w:pPr>
      <w:r>
        <w:rPr>
          <w:rFonts w:ascii="Arial" w:hAnsi="Arial" w:cs="Arial"/>
          <w:sz w:val="20"/>
          <w:szCs w:val="20"/>
          <w:u w:val="single"/>
        </w:rPr>
        <w:t>Teaching School Hubs</w:t>
      </w:r>
    </w:p>
    <w:p w:rsidR="00E93657" w:rsidRDefault="00E93657" w:rsidP="001905D6">
      <w:pPr>
        <w:rPr>
          <w:rFonts w:ascii="Arial" w:hAnsi="Arial" w:cs="Arial"/>
          <w:sz w:val="20"/>
          <w:szCs w:val="20"/>
        </w:rPr>
      </w:pPr>
    </w:p>
    <w:p w:rsidR="00436481" w:rsidRPr="00436481" w:rsidRDefault="00436481" w:rsidP="00436481">
      <w:pPr>
        <w:rPr>
          <w:rFonts w:ascii="Arial" w:hAnsi="Arial" w:cs="Arial"/>
          <w:sz w:val="20"/>
          <w:szCs w:val="20"/>
        </w:rPr>
      </w:pPr>
      <w:r w:rsidRPr="00436481">
        <w:rPr>
          <w:rFonts w:ascii="Arial" w:hAnsi="Arial" w:cs="Arial"/>
          <w:sz w:val="20"/>
          <w:szCs w:val="20"/>
        </w:rPr>
        <w:t xml:space="preserve">Although funding for existing teaching schools would be extended to September 2020/21 it is anticipated that this will be the final year of funding and that TS designations will end in August 2021, the key factor in approving new teaching school hubs would be specific eligibility criteria with the final determinant of outcome being progress, which meant that however effective some existing teaching schools were in regards existing KPIs, such factors would only be take into account when deciding whether to award TS status to schools with equal Progress scores, for secondary schools this would be from the Progress 8 measure.  This could make it difficult for schools in challenging areas to secure TS status and might encourage ‘off-rolling’. The impact of the new hubs of existing SCITT and HEI provision (e.g. in terms of placement opportunities) was also noted. </w:t>
      </w:r>
    </w:p>
    <w:p w:rsidR="00436481" w:rsidRDefault="00436481" w:rsidP="001905D6">
      <w:pPr>
        <w:rPr>
          <w:rFonts w:ascii="Arial" w:hAnsi="Arial" w:cs="Arial"/>
          <w:sz w:val="20"/>
          <w:szCs w:val="20"/>
        </w:rPr>
      </w:pPr>
    </w:p>
    <w:p w:rsidR="00436481" w:rsidRDefault="00436481" w:rsidP="001905D6">
      <w:pPr>
        <w:rPr>
          <w:rFonts w:ascii="Arial" w:hAnsi="Arial" w:cs="Arial"/>
          <w:sz w:val="20"/>
          <w:szCs w:val="20"/>
        </w:rPr>
      </w:pPr>
    </w:p>
    <w:p w:rsidR="00E93657" w:rsidRDefault="00E93657" w:rsidP="001905D6">
      <w:pPr>
        <w:rPr>
          <w:rFonts w:ascii="Arial" w:hAnsi="Arial" w:cs="Arial"/>
          <w:sz w:val="20"/>
          <w:szCs w:val="20"/>
          <w:u w:val="single"/>
        </w:rPr>
      </w:pPr>
      <w:r>
        <w:rPr>
          <w:rFonts w:ascii="Arial" w:hAnsi="Arial" w:cs="Arial"/>
          <w:sz w:val="20"/>
          <w:szCs w:val="20"/>
          <w:u w:val="single"/>
        </w:rPr>
        <w:t>Teacher education policy &amp; recruitment</w:t>
      </w:r>
    </w:p>
    <w:p w:rsidR="00E93657" w:rsidRDefault="00E93657" w:rsidP="001905D6">
      <w:pPr>
        <w:rPr>
          <w:rFonts w:ascii="Arial" w:hAnsi="Arial" w:cs="Arial"/>
          <w:sz w:val="20"/>
          <w:szCs w:val="20"/>
          <w:u w:val="single"/>
        </w:rPr>
      </w:pPr>
    </w:p>
    <w:p w:rsidR="00E93657" w:rsidRDefault="00E93657" w:rsidP="001905D6">
      <w:pPr>
        <w:rPr>
          <w:rFonts w:ascii="Arial" w:hAnsi="Arial" w:cs="Arial"/>
          <w:sz w:val="20"/>
          <w:szCs w:val="20"/>
        </w:rPr>
      </w:pPr>
      <w:r>
        <w:rPr>
          <w:rFonts w:ascii="Arial" w:hAnsi="Arial" w:cs="Arial"/>
          <w:sz w:val="20"/>
          <w:szCs w:val="20"/>
        </w:rPr>
        <w:t>The following issues were discussed:</w:t>
      </w:r>
    </w:p>
    <w:p w:rsidR="00E93657" w:rsidRDefault="00E93657" w:rsidP="001905D6">
      <w:pPr>
        <w:rPr>
          <w:rFonts w:ascii="Arial" w:hAnsi="Arial" w:cs="Arial"/>
          <w:sz w:val="20"/>
          <w:szCs w:val="20"/>
        </w:rPr>
      </w:pPr>
    </w:p>
    <w:p w:rsidR="00E93657" w:rsidRDefault="00E93657" w:rsidP="00E93657">
      <w:pPr>
        <w:pStyle w:val="ListParagraph"/>
        <w:numPr>
          <w:ilvl w:val="0"/>
          <w:numId w:val="34"/>
        </w:numPr>
        <w:rPr>
          <w:rFonts w:ascii="Arial" w:hAnsi="Arial" w:cs="Arial"/>
          <w:sz w:val="20"/>
          <w:szCs w:val="20"/>
        </w:rPr>
      </w:pPr>
      <w:r>
        <w:rPr>
          <w:rFonts w:ascii="Arial" w:hAnsi="Arial" w:cs="Arial"/>
          <w:sz w:val="20"/>
          <w:szCs w:val="20"/>
        </w:rPr>
        <w:t xml:space="preserve">Recruitment to both </w:t>
      </w:r>
      <w:r w:rsidR="005D4213">
        <w:rPr>
          <w:rFonts w:ascii="Arial" w:hAnsi="Arial" w:cs="Arial"/>
          <w:sz w:val="20"/>
          <w:szCs w:val="20"/>
        </w:rPr>
        <w:t>p</w:t>
      </w:r>
      <w:r>
        <w:rPr>
          <w:rFonts w:ascii="Arial" w:hAnsi="Arial" w:cs="Arial"/>
          <w:sz w:val="20"/>
          <w:szCs w:val="20"/>
        </w:rPr>
        <w:t>rimary and secondary programmes remained challenging, with most colleagues repo</w:t>
      </w:r>
      <w:r w:rsidR="005E6409">
        <w:rPr>
          <w:rFonts w:ascii="Arial" w:hAnsi="Arial" w:cs="Arial"/>
          <w:sz w:val="20"/>
          <w:szCs w:val="20"/>
        </w:rPr>
        <w:t xml:space="preserve">rting lower application </w:t>
      </w:r>
      <w:r>
        <w:rPr>
          <w:rFonts w:ascii="Arial" w:hAnsi="Arial" w:cs="Arial"/>
          <w:sz w:val="20"/>
          <w:szCs w:val="20"/>
        </w:rPr>
        <w:t xml:space="preserve">figures than at the same stage in the previous year’s cycle. Location of school placements was reported as being a key factor in applicant choice. </w:t>
      </w:r>
      <w:r w:rsidR="005D4213">
        <w:rPr>
          <w:rFonts w:ascii="Arial" w:hAnsi="Arial" w:cs="Arial"/>
          <w:sz w:val="20"/>
          <w:szCs w:val="20"/>
        </w:rPr>
        <w:t>Examples of providing professional development opportunities to retain NQTs once qualified were given.</w:t>
      </w:r>
    </w:p>
    <w:p w:rsidR="005D4213" w:rsidRDefault="005D4213" w:rsidP="00E93657">
      <w:pPr>
        <w:pStyle w:val="ListParagraph"/>
        <w:numPr>
          <w:ilvl w:val="0"/>
          <w:numId w:val="34"/>
        </w:numPr>
        <w:rPr>
          <w:rFonts w:ascii="Arial" w:hAnsi="Arial" w:cs="Arial"/>
          <w:sz w:val="20"/>
          <w:szCs w:val="20"/>
        </w:rPr>
      </w:pPr>
      <w:r>
        <w:rPr>
          <w:rFonts w:ascii="Arial" w:hAnsi="Arial" w:cs="Arial"/>
          <w:sz w:val="20"/>
          <w:szCs w:val="20"/>
        </w:rPr>
        <w:t>The new Apply service, and the advantages of being an early-adopter’.</w:t>
      </w:r>
    </w:p>
    <w:p w:rsidR="005D4213" w:rsidRDefault="005D4213" w:rsidP="00E93657">
      <w:pPr>
        <w:pStyle w:val="ListParagraph"/>
        <w:numPr>
          <w:ilvl w:val="0"/>
          <w:numId w:val="34"/>
        </w:numPr>
        <w:rPr>
          <w:rFonts w:ascii="Arial" w:hAnsi="Arial" w:cs="Arial"/>
          <w:sz w:val="20"/>
          <w:szCs w:val="20"/>
        </w:rPr>
      </w:pPr>
      <w:r>
        <w:rPr>
          <w:rFonts w:ascii="Arial" w:hAnsi="Arial" w:cs="Arial"/>
          <w:sz w:val="20"/>
          <w:szCs w:val="20"/>
        </w:rPr>
        <w:t xml:space="preserve">Skills Test replacements, with all those present finding the new system as being less burdensome and less of a barrier to recruitment. </w:t>
      </w:r>
    </w:p>
    <w:p w:rsidR="005D4213" w:rsidRDefault="005D4213" w:rsidP="00E93657">
      <w:pPr>
        <w:pStyle w:val="ListParagraph"/>
        <w:numPr>
          <w:ilvl w:val="0"/>
          <w:numId w:val="34"/>
        </w:numPr>
        <w:rPr>
          <w:rFonts w:ascii="Arial" w:hAnsi="Arial" w:cs="Arial"/>
          <w:sz w:val="20"/>
          <w:szCs w:val="20"/>
        </w:rPr>
      </w:pPr>
      <w:r>
        <w:rPr>
          <w:rFonts w:ascii="Arial" w:hAnsi="Arial" w:cs="Arial"/>
          <w:sz w:val="20"/>
          <w:szCs w:val="20"/>
        </w:rPr>
        <w:t>Early Career framework pilots and pilot providers marketing their products in the pilot areas. Many head-teachers remained unaware of the full implications of the ECF. Confusion over the position of NQTs completing year one of the ECF in the pilot areas prior to national roll-out were noted.</w:t>
      </w:r>
    </w:p>
    <w:p w:rsidR="005D4213" w:rsidRDefault="005D4213" w:rsidP="00E93657">
      <w:pPr>
        <w:pStyle w:val="ListParagraph"/>
        <w:numPr>
          <w:ilvl w:val="0"/>
          <w:numId w:val="34"/>
        </w:numPr>
        <w:rPr>
          <w:rFonts w:ascii="Arial" w:hAnsi="Arial" w:cs="Arial"/>
          <w:sz w:val="20"/>
          <w:szCs w:val="20"/>
        </w:rPr>
      </w:pPr>
      <w:r>
        <w:rPr>
          <w:rFonts w:ascii="Arial" w:hAnsi="Arial" w:cs="Arial"/>
          <w:sz w:val="20"/>
          <w:szCs w:val="20"/>
        </w:rPr>
        <w:t>The DfE shape of the market review, which appeared to be focusing on the applicant journey rather than at fundamental issues relating to accreditation etc.</w:t>
      </w:r>
    </w:p>
    <w:p w:rsidR="005D4213" w:rsidRDefault="005D4213" w:rsidP="005D4213">
      <w:pPr>
        <w:rPr>
          <w:rFonts w:ascii="Arial" w:hAnsi="Arial" w:cs="Arial"/>
          <w:sz w:val="20"/>
          <w:szCs w:val="20"/>
        </w:rPr>
      </w:pPr>
    </w:p>
    <w:p w:rsidR="005D4213" w:rsidRDefault="005D4213" w:rsidP="005D4213">
      <w:pPr>
        <w:rPr>
          <w:rFonts w:ascii="Arial" w:hAnsi="Arial" w:cs="Arial"/>
          <w:sz w:val="20"/>
          <w:szCs w:val="20"/>
        </w:rPr>
      </w:pPr>
      <w:r>
        <w:rPr>
          <w:rFonts w:ascii="Arial" w:hAnsi="Arial" w:cs="Arial"/>
          <w:sz w:val="20"/>
          <w:szCs w:val="20"/>
          <w:u w:val="single"/>
        </w:rPr>
        <w:t>Any other business</w:t>
      </w:r>
    </w:p>
    <w:p w:rsidR="005D4213" w:rsidRDefault="005D4213" w:rsidP="005D4213">
      <w:pPr>
        <w:rPr>
          <w:rFonts w:ascii="Arial" w:hAnsi="Arial" w:cs="Arial"/>
          <w:sz w:val="20"/>
          <w:szCs w:val="20"/>
        </w:rPr>
      </w:pPr>
    </w:p>
    <w:p w:rsidR="005D4213" w:rsidRPr="005D4213" w:rsidRDefault="005D4213" w:rsidP="005D4213">
      <w:pPr>
        <w:rPr>
          <w:rFonts w:ascii="Arial" w:hAnsi="Arial" w:cs="Arial"/>
          <w:sz w:val="20"/>
          <w:szCs w:val="20"/>
        </w:rPr>
      </w:pPr>
      <w:r>
        <w:rPr>
          <w:rFonts w:ascii="Arial" w:hAnsi="Arial" w:cs="Arial"/>
          <w:sz w:val="20"/>
          <w:szCs w:val="20"/>
        </w:rPr>
        <w:t>An update was given on the development of new specialist NPQs for serving teachers.</w:t>
      </w:r>
    </w:p>
    <w:p w:rsidR="00E93657" w:rsidRDefault="00E93657" w:rsidP="001905D6">
      <w:pPr>
        <w:rPr>
          <w:rFonts w:ascii="Arial" w:hAnsi="Arial" w:cs="Arial"/>
          <w:sz w:val="20"/>
          <w:szCs w:val="20"/>
          <w:u w:val="single"/>
        </w:rPr>
      </w:pPr>
    </w:p>
    <w:p w:rsidR="005669ED" w:rsidRPr="00121062" w:rsidRDefault="005669ED" w:rsidP="001905D6">
      <w:pPr>
        <w:rPr>
          <w:rFonts w:ascii="Arial" w:hAnsi="Arial" w:cs="Arial"/>
          <w:sz w:val="20"/>
          <w:szCs w:val="20"/>
          <w:u w:val="single"/>
        </w:rPr>
      </w:pPr>
      <w:r w:rsidRPr="00121062">
        <w:rPr>
          <w:rFonts w:ascii="Arial" w:hAnsi="Arial" w:cs="Arial"/>
          <w:sz w:val="20"/>
          <w:szCs w:val="20"/>
          <w:u w:val="single"/>
        </w:rPr>
        <w:t>Date of next meeting</w:t>
      </w:r>
    </w:p>
    <w:p w:rsidR="005669ED" w:rsidRPr="00121062" w:rsidRDefault="005669ED" w:rsidP="001905D6">
      <w:pPr>
        <w:rPr>
          <w:rFonts w:ascii="Arial" w:hAnsi="Arial" w:cs="Arial"/>
          <w:sz w:val="20"/>
          <w:szCs w:val="20"/>
          <w:u w:val="single"/>
        </w:rPr>
      </w:pPr>
    </w:p>
    <w:p w:rsidR="005669ED" w:rsidRPr="00121062" w:rsidRDefault="005D4213" w:rsidP="001905D6">
      <w:pPr>
        <w:rPr>
          <w:rFonts w:ascii="Arial" w:hAnsi="Arial" w:cs="Arial"/>
          <w:sz w:val="20"/>
          <w:szCs w:val="20"/>
        </w:rPr>
      </w:pPr>
      <w:r>
        <w:rPr>
          <w:rFonts w:ascii="Arial" w:hAnsi="Arial" w:cs="Arial"/>
          <w:sz w:val="20"/>
          <w:szCs w:val="20"/>
        </w:rPr>
        <w:t xml:space="preserve">3 June </w:t>
      </w:r>
      <w:r w:rsidR="005669ED" w:rsidRPr="00121062">
        <w:rPr>
          <w:rFonts w:ascii="Arial" w:hAnsi="Arial" w:cs="Arial"/>
          <w:sz w:val="20"/>
          <w:szCs w:val="20"/>
        </w:rPr>
        <w:t xml:space="preserve">2020 at 1pm. </w:t>
      </w:r>
      <w:r>
        <w:rPr>
          <w:rFonts w:ascii="Arial" w:hAnsi="Arial" w:cs="Arial"/>
          <w:sz w:val="20"/>
          <w:szCs w:val="20"/>
        </w:rPr>
        <w:t xml:space="preserve">UCET chairs and vice chairs would be encouraged to attend. Suggestions for additional SRG members were invited. </w:t>
      </w:r>
      <w:r w:rsidR="005669ED" w:rsidRPr="00121062">
        <w:rPr>
          <w:rFonts w:ascii="Arial" w:hAnsi="Arial" w:cs="Arial"/>
          <w:sz w:val="20"/>
          <w:szCs w:val="20"/>
        </w:rPr>
        <w:t xml:space="preserve"> </w:t>
      </w:r>
    </w:p>
    <w:p w:rsidR="00A82F97" w:rsidRPr="00121062" w:rsidRDefault="00A82F97" w:rsidP="00A82F97">
      <w:pPr>
        <w:rPr>
          <w:rFonts w:ascii="Arial" w:hAnsi="Arial" w:cs="Arial"/>
          <w:sz w:val="20"/>
          <w:szCs w:val="20"/>
        </w:rPr>
      </w:pPr>
    </w:p>
    <w:p w:rsidR="008C11C2" w:rsidRDefault="008C11C2" w:rsidP="00B6401E">
      <w:pPr>
        <w:jc w:val="center"/>
        <w:rPr>
          <w:rFonts w:ascii="Arial" w:hAnsi="Arial" w:cs="Arial"/>
          <w:b/>
          <w:sz w:val="20"/>
          <w:szCs w:val="20"/>
        </w:rPr>
      </w:pPr>
    </w:p>
    <w:sectPr w:rsidR="008C11C2" w:rsidSect="006F0BBA">
      <w:headerReference w:type="even" r:id="rId8"/>
      <w:headerReference w:type="default" r:id="rId9"/>
      <w:footerReference w:type="even" r:id="rId10"/>
      <w:footerReference w:type="default" r:id="rId11"/>
      <w:headerReference w:type="first" r:id="rId12"/>
      <w:footerReference w:type="first" r:id="rId13"/>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E6613BF"/>
    <w:multiLevelType w:val="hybridMultilevel"/>
    <w:tmpl w:val="58F2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A29FE"/>
    <w:multiLevelType w:val="hybridMultilevel"/>
    <w:tmpl w:val="640C9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E70628"/>
    <w:multiLevelType w:val="hybridMultilevel"/>
    <w:tmpl w:val="B2A61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9"/>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5"/>
  </w:num>
  <w:num w:numId="16">
    <w:abstractNumId w:val="13"/>
  </w:num>
  <w:num w:numId="17">
    <w:abstractNumId w:val="0"/>
  </w:num>
  <w:num w:numId="18">
    <w:abstractNumId w:val="22"/>
  </w:num>
  <w:num w:numId="19">
    <w:abstractNumId w:val="32"/>
  </w:num>
  <w:num w:numId="20">
    <w:abstractNumId w:val="18"/>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6"/>
  </w:num>
  <w:num w:numId="26">
    <w:abstractNumId w:val="1"/>
  </w:num>
  <w:num w:numId="27">
    <w:abstractNumId w:val="2"/>
  </w:num>
  <w:num w:numId="28">
    <w:abstractNumId w:val="10"/>
  </w:num>
  <w:num w:numId="29">
    <w:abstractNumId w:val="33"/>
  </w:num>
  <w:num w:numId="30">
    <w:abstractNumId w:val="6"/>
  </w:num>
  <w:num w:numId="31">
    <w:abstractNumId w:val="5"/>
  </w:num>
  <w:num w:numId="32">
    <w:abstractNumId w:val="31"/>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6AC1"/>
    <w:rsid w:val="00056340"/>
    <w:rsid w:val="000636C2"/>
    <w:rsid w:val="00064B2E"/>
    <w:rsid w:val="000663F4"/>
    <w:rsid w:val="000757B0"/>
    <w:rsid w:val="00075E3A"/>
    <w:rsid w:val="000842BA"/>
    <w:rsid w:val="000871B3"/>
    <w:rsid w:val="00091A6F"/>
    <w:rsid w:val="000B4530"/>
    <w:rsid w:val="000E0804"/>
    <w:rsid w:val="000E3228"/>
    <w:rsid w:val="000E44A9"/>
    <w:rsid w:val="000F1ECB"/>
    <w:rsid w:val="000F5164"/>
    <w:rsid w:val="00100462"/>
    <w:rsid w:val="00102097"/>
    <w:rsid w:val="00121062"/>
    <w:rsid w:val="00125B89"/>
    <w:rsid w:val="00130BB2"/>
    <w:rsid w:val="00137534"/>
    <w:rsid w:val="00163B98"/>
    <w:rsid w:val="00187C64"/>
    <w:rsid w:val="001905D6"/>
    <w:rsid w:val="00195401"/>
    <w:rsid w:val="00197CB3"/>
    <w:rsid w:val="001A3DB2"/>
    <w:rsid w:val="001A58F8"/>
    <w:rsid w:val="001E3995"/>
    <w:rsid w:val="00217E88"/>
    <w:rsid w:val="00265A76"/>
    <w:rsid w:val="00275959"/>
    <w:rsid w:val="002D28F2"/>
    <w:rsid w:val="003030E1"/>
    <w:rsid w:val="003353A2"/>
    <w:rsid w:val="00335CAC"/>
    <w:rsid w:val="003571D4"/>
    <w:rsid w:val="003701A6"/>
    <w:rsid w:val="00373FDA"/>
    <w:rsid w:val="00376550"/>
    <w:rsid w:val="00384BF9"/>
    <w:rsid w:val="003A07AB"/>
    <w:rsid w:val="003B11D2"/>
    <w:rsid w:val="003D153F"/>
    <w:rsid w:val="003E399F"/>
    <w:rsid w:val="003E6C64"/>
    <w:rsid w:val="004020BF"/>
    <w:rsid w:val="00404BC9"/>
    <w:rsid w:val="00406E3F"/>
    <w:rsid w:val="00436481"/>
    <w:rsid w:val="00460ADD"/>
    <w:rsid w:val="004919CD"/>
    <w:rsid w:val="004C6301"/>
    <w:rsid w:val="004D22CE"/>
    <w:rsid w:val="004D4E96"/>
    <w:rsid w:val="004E424F"/>
    <w:rsid w:val="0050585C"/>
    <w:rsid w:val="00506AF6"/>
    <w:rsid w:val="00510CD9"/>
    <w:rsid w:val="005241D6"/>
    <w:rsid w:val="00545523"/>
    <w:rsid w:val="00553B84"/>
    <w:rsid w:val="00556FDE"/>
    <w:rsid w:val="005669ED"/>
    <w:rsid w:val="00587A14"/>
    <w:rsid w:val="00595E10"/>
    <w:rsid w:val="005B020F"/>
    <w:rsid w:val="005D4213"/>
    <w:rsid w:val="005E6409"/>
    <w:rsid w:val="005F6649"/>
    <w:rsid w:val="00663708"/>
    <w:rsid w:val="006713D1"/>
    <w:rsid w:val="006821DB"/>
    <w:rsid w:val="0069062B"/>
    <w:rsid w:val="00692AA1"/>
    <w:rsid w:val="00694AC5"/>
    <w:rsid w:val="00697ED9"/>
    <w:rsid w:val="006B1039"/>
    <w:rsid w:val="006B16E8"/>
    <w:rsid w:val="006B7556"/>
    <w:rsid w:val="006C1A63"/>
    <w:rsid w:val="006F0BBA"/>
    <w:rsid w:val="006F3B08"/>
    <w:rsid w:val="0071182F"/>
    <w:rsid w:val="007248F3"/>
    <w:rsid w:val="0073319F"/>
    <w:rsid w:val="00736FAE"/>
    <w:rsid w:val="00762915"/>
    <w:rsid w:val="00783030"/>
    <w:rsid w:val="0078342E"/>
    <w:rsid w:val="0079004D"/>
    <w:rsid w:val="0079365B"/>
    <w:rsid w:val="007A21CA"/>
    <w:rsid w:val="007A5055"/>
    <w:rsid w:val="007B1F7F"/>
    <w:rsid w:val="007C6582"/>
    <w:rsid w:val="007C72AE"/>
    <w:rsid w:val="007D01A5"/>
    <w:rsid w:val="007D240E"/>
    <w:rsid w:val="00801AC2"/>
    <w:rsid w:val="0086641B"/>
    <w:rsid w:val="00876021"/>
    <w:rsid w:val="008818D3"/>
    <w:rsid w:val="00882516"/>
    <w:rsid w:val="008A0A18"/>
    <w:rsid w:val="008B1B55"/>
    <w:rsid w:val="008C11C2"/>
    <w:rsid w:val="008D2D5D"/>
    <w:rsid w:val="008E7F54"/>
    <w:rsid w:val="008F58E9"/>
    <w:rsid w:val="00900283"/>
    <w:rsid w:val="00904226"/>
    <w:rsid w:val="00933723"/>
    <w:rsid w:val="00942938"/>
    <w:rsid w:val="00952EE1"/>
    <w:rsid w:val="0095447C"/>
    <w:rsid w:val="00986160"/>
    <w:rsid w:val="009927E3"/>
    <w:rsid w:val="009A7D0E"/>
    <w:rsid w:val="009B4042"/>
    <w:rsid w:val="009D0A8C"/>
    <w:rsid w:val="00A25AA2"/>
    <w:rsid w:val="00A62726"/>
    <w:rsid w:val="00A65CFD"/>
    <w:rsid w:val="00A82F97"/>
    <w:rsid w:val="00A97D3F"/>
    <w:rsid w:val="00AA07DD"/>
    <w:rsid w:val="00AA3673"/>
    <w:rsid w:val="00AA4E39"/>
    <w:rsid w:val="00AD7290"/>
    <w:rsid w:val="00AE365F"/>
    <w:rsid w:val="00AE40D7"/>
    <w:rsid w:val="00AF7C09"/>
    <w:rsid w:val="00B15A9B"/>
    <w:rsid w:val="00B6401E"/>
    <w:rsid w:val="00B65A82"/>
    <w:rsid w:val="00B80B29"/>
    <w:rsid w:val="00B82F28"/>
    <w:rsid w:val="00B93383"/>
    <w:rsid w:val="00BA540B"/>
    <w:rsid w:val="00BB1276"/>
    <w:rsid w:val="00C0032E"/>
    <w:rsid w:val="00C02640"/>
    <w:rsid w:val="00C23A79"/>
    <w:rsid w:val="00C2625F"/>
    <w:rsid w:val="00C27B2F"/>
    <w:rsid w:val="00C4023E"/>
    <w:rsid w:val="00C51AF9"/>
    <w:rsid w:val="00C54884"/>
    <w:rsid w:val="00C765B1"/>
    <w:rsid w:val="00CB45A4"/>
    <w:rsid w:val="00CB49FF"/>
    <w:rsid w:val="00CC0BDA"/>
    <w:rsid w:val="00CD5C9E"/>
    <w:rsid w:val="00CD6CDB"/>
    <w:rsid w:val="00CD6E6C"/>
    <w:rsid w:val="00CF4AE3"/>
    <w:rsid w:val="00CF4EBB"/>
    <w:rsid w:val="00D006E8"/>
    <w:rsid w:val="00D035DD"/>
    <w:rsid w:val="00D3599D"/>
    <w:rsid w:val="00D91D76"/>
    <w:rsid w:val="00DA18ED"/>
    <w:rsid w:val="00DA549A"/>
    <w:rsid w:val="00DB47B9"/>
    <w:rsid w:val="00DC2807"/>
    <w:rsid w:val="00DC2E66"/>
    <w:rsid w:val="00DD6F5F"/>
    <w:rsid w:val="00E04418"/>
    <w:rsid w:val="00E13FB2"/>
    <w:rsid w:val="00E1445B"/>
    <w:rsid w:val="00E265FE"/>
    <w:rsid w:val="00E27BA3"/>
    <w:rsid w:val="00E430A0"/>
    <w:rsid w:val="00E50DE2"/>
    <w:rsid w:val="00E60EB3"/>
    <w:rsid w:val="00E64ED8"/>
    <w:rsid w:val="00E772EE"/>
    <w:rsid w:val="00E8728B"/>
    <w:rsid w:val="00E93657"/>
    <w:rsid w:val="00F263AC"/>
    <w:rsid w:val="00F27355"/>
    <w:rsid w:val="00F315E0"/>
    <w:rsid w:val="00F325CB"/>
    <w:rsid w:val="00F4133E"/>
    <w:rsid w:val="00F4519D"/>
    <w:rsid w:val="00F6662E"/>
    <w:rsid w:val="00F738CB"/>
    <w:rsid w:val="00F760AD"/>
    <w:rsid w:val="00F83A4C"/>
    <w:rsid w:val="00F92622"/>
    <w:rsid w:val="00FD69DC"/>
    <w:rsid w:val="00FE7278"/>
    <w:rsid w:val="00FE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011A2C-A4EF-4EA2-8550-CDF83648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41082315">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3</cp:revision>
  <cp:lastPrinted>2019-10-17T09:01:00Z</cp:lastPrinted>
  <dcterms:created xsi:type="dcterms:W3CDTF">2020-04-30T10:15:00Z</dcterms:created>
  <dcterms:modified xsi:type="dcterms:W3CDTF">2020-04-30T10:16:00Z</dcterms:modified>
</cp:coreProperties>
</file>