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4CAC3" w14:textId="77777777" w:rsidR="00F06F13" w:rsidRPr="0014540E" w:rsidRDefault="0014540E">
      <w:pPr>
        <w:rPr>
          <w:rFonts w:cstheme="minorHAnsi"/>
          <w:b/>
          <w:sz w:val="28"/>
          <w:szCs w:val="28"/>
        </w:rPr>
      </w:pPr>
      <w:bookmarkStart w:id="0" w:name="_GoBack"/>
      <w:bookmarkEnd w:id="0"/>
      <w:r w:rsidRPr="0014540E">
        <w:rPr>
          <w:rFonts w:cstheme="minorHAnsi"/>
          <w:b/>
          <w:sz w:val="28"/>
          <w:szCs w:val="28"/>
        </w:rPr>
        <w:t>UCET Values &amp; Principles</w:t>
      </w:r>
    </w:p>
    <w:p w14:paraId="1B471345" w14:textId="7C7D8539" w:rsidR="0014540E" w:rsidRPr="0014540E" w:rsidRDefault="0014540E">
      <w:pPr>
        <w:rPr>
          <w:rFonts w:cstheme="minorHAnsi"/>
        </w:rPr>
      </w:pPr>
    </w:p>
    <w:p w14:paraId="766CDE01" w14:textId="30FA3577" w:rsidR="0014540E" w:rsidRPr="0014540E" w:rsidRDefault="0014540E">
      <w:pPr>
        <w:rPr>
          <w:rFonts w:cstheme="minorHAnsi"/>
          <w:b/>
          <w:u w:val="single"/>
        </w:rPr>
      </w:pPr>
      <w:r w:rsidRPr="0014540E">
        <w:rPr>
          <w:rFonts w:cstheme="minorHAnsi"/>
          <w:b/>
          <w:u w:val="single"/>
        </w:rPr>
        <w:t>Preamble</w:t>
      </w:r>
    </w:p>
    <w:p w14:paraId="7C758706" w14:textId="63563F31" w:rsidR="0014540E" w:rsidRPr="0014540E" w:rsidRDefault="0014540E" w:rsidP="0014540E">
      <w:pPr>
        <w:rPr>
          <w:rFonts w:cstheme="minorHAnsi"/>
        </w:rPr>
      </w:pPr>
      <w:r w:rsidRPr="0014540E">
        <w:rPr>
          <w:rFonts w:cstheme="minorHAnsi"/>
        </w:rPr>
        <w:t>We recognise that high quality teaching is a challenging, complex and intellectual endeavour and it is exactly these qualities that make it such an appealing profession. The evidence shows that the single most influential factor in improving pupil learning is the quality of teaching. Initial teacher education is the starting place to ensure high quality teachers. There is a substantial evidence base about both high-quality teaching and high quality teacher education and it is imperative that all teacher education provision builds on this evidence base. Universities are uniquely placed to do this and more.</w:t>
      </w:r>
    </w:p>
    <w:p w14:paraId="43C9E35F" w14:textId="046F1082" w:rsidR="0014540E" w:rsidRPr="0014540E" w:rsidRDefault="0014540E" w:rsidP="0014540E">
      <w:pPr>
        <w:rPr>
          <w:rFonts w:cstheme="minorHAnsi"/>
        </w:rPr>
      </w:pPr>
      <w:r w:rsidRPr="0014540E">
        <w:rPr>
          <w:rFonts w:cstheme="minorHAnsi"/>
        </w:rPr>
        <w:t>Universities perform a unique role in society which is to foreground the relentless pursuit of truth and the robustness of knowledge above all other concerns. Unencumbered by corporate or ideological interests the university seeks to offer a grounded and reasoned perspective on the best possible knowledge available at any given time. Universities are trusted authorities with confidence to speak truth to power</w:t>
      </w:r>
      <w:r w:rsidR="004B7AAB">
        <w:rPr>
          <w:rFonts w:cstheme="minorHAnsi"/>
        </w:rPr>
        <w:t>,</w:t>
      </w:r>
      <w:r w:rsidRPr="0014540E">
        <w:rPr>
          <w:rFonts w:cstheme="minorHAnsi"/>
        </w:rPr>
        <w:t xml:space="preserve"> who ask challenging and open questions and provide reasoned solutions based on robust evidence. Universities also have a role in verifying the authenticity of claims made by others to ensure that the fields of inquiry are the best of what we know at that point in time. It is precisely these responsibilities that give universities a unique role in teacher education that goes beyond the ‘training’ of teachers but sees teacher education as a multidisciplinary field of inquiry, and a source of knowledge generation and verification that fulfils a pressing and fundamental need in society. That is to ensure the development of a profession made up of the best quality teachers who are able to shape the best quality education for us all.</w:t>
      </w:r>
    </w:p>
    <w:p w14:paraId="770345DF" w14:textId="7BCDEBEA" w:rsidR="004B7AAB" w:rsidRPr="00732AE9" w:rsidRDefault="0014540E" w:rsidP="0014540E">
      <w:pPr>
        <w:rPr>
          <w:rFonts w:cstheme="minorHAnsi"/>
        </w:rPr>
      </w:pPr>
      <w:r w:rsidRPr="0014540E">
        <w:rPr>
          <w:rFonts w:cstheme="minorHAnsi"/>
        </w:rPr>
        <w:t>High quality teacher education equips educators with the necessary competences to provide good quality education for their learners that helps them reach successful outcomes.</w:t>
      </w:r>
    </w:p>
    <w:p w14:paraId="3EED206C" w14:textId="25819379" w:rsidR="0014540E" w:rsidRPr="00007B07" w:rsidRDefault="0014540E" w:rsidP="0014540E">
      <w:pPr>
        <w:rPr>
          <w:rFonts w:cstheme="minorHAnsi"/>
          <w:i/>
        </w:rPr>
      </w:pPr>
      <w:r w:rsidRPr="00007B07">
        <w:rPr>
          <w:rFonts w:cstheme="minorHAnsi"/>
          <w:i/>
        </w:rPr>
        <w:t>High quality teacher education</w:t>
      </w:r>
    </w:p>
    <w:p w14:paraId="25151B7C" w14:textId="0045F590" w:rsidR="0014540E" w:rsidRPr="00007B07" w:rsidRDefault="00DC51E9" w:rsidP="0014540E">
      <w:pPr>
        <w:pStyle w:val="ListParagraph"/>
        <w:numPr>
          <w:ilvl w:val="0"/>
          <w:numId w:val="2"/>
        </w:numPr>
        <w:rPr>
          <w:rFonts w:cstheme="minorHAnsi"/>
          <w:i/>
        </w:rPr>
      </w:pPr>
      <w:r w:rsidRPr="00007B07">
        <w:rPr>
          <w:rFonts w:cstheme="minorHAnsi"/>
          <w:i/>
        </w:rPr>
        <w:t>e</w:t>
      </w:r>
      <w:r w:rsidR="0014540E" w:rsidRPr="00007B07">
        <w:rPr>
          <w:rFonts w:cstheme="minorHAnsi"/>
          <w:i/>
        </w:rPr>
        <w:t>ncourages a lifelong commitment to the education profession</w:t>
      </w:r>
    </w:p>
    <w:p w14:paraId="35CC3425" w14:textId="536863DF" w:rsidR="0014540E" w:rsidRPr="00007B07" w:rsidRDefault="0014540E" w:rsidP="0014540E">
      <w:pPr>
        <w:pStyle w:val="ListParagraph"/>
        <w:numPr>
          <w:ilvl w:val="0"/>
          <w:numId w:val="2"/>
        </w:numPr>
        <w:rPr>
          <w:rFonts w:cstheme="minorHAnsi"/>
          <w:i/>
        </w:rPr>
      </w:pPr>
      <w:r w:rsidRPr="00007B07">
        <w:rPr>
          <w:rFonts w:cstheme="minorHAnsi"/>
          <w:i/>
        </w:rPr>
        <w:t>conceptualises teachers as intellectuals who take an enquiring stance to their work and make meaningful contributions to the professional knowledge base</w:t>
      </w:r>
      <w:r w:rsidR="00D03D26" w:rsidRPr="00007B07">
        <w:rPr>
          <w:rFonts w:cstheme="minorHAnsi"/>
          <w:i/>
        </w:rPr>
        <w:t xml:space="preserve"> (Hagger &amp; McIntyre, 2006)</w:t>
      </w:r>
    </w:p>
    <w:p w14:paraId="75F94FF2" w14:textId="77777777" w:rsidR="0014540E" w:rsidRPr="00007B07" w:rsidRDefault="0014540E" w:rsidP="0014540E">
      <w:pPr>
        <w:pStyle w:val="ListParagraph"/>
        <w:numPr>
          <w:ilvl w:val="0"/>
          <w:numId w:val="2"/>
        </w:numPr>
        <w:rPr>
          <w:rFonts w:cstheme="minorHAnsi"/>
          <w:i/>
        </w:rPr>
      </w:pPr>
      <w:r w:rsidRPr="00007B07">
        <w:rPr>
          <w:rFonts w:cstheme="minorHAnsi"/>
          <w:i/>
        </w:rPr>
        <w:t>is underpinned by a commitment to transparency, integrity and a contribution to excellence</w:t>
      </w:r>
    </w:p>
    <w:p w14:paraId="787CF551" w14:textId="0558B4E6" w:rsidR="0014540E" w:rsidRPr="00007B07" w:rsidRDefault="0014540E" w:rsidP="0014540E">
      <w:pPr>
        <w:pStyle w:val="ListParagraph"/>
        <w:numPr>
          <w:ilvl w:val="0"/>
          <w:numId w:val="2"/>
        </w:numPr>
        <w:rPr>
          <w:rFonts w:cstheme="minorHAnsi"/>
          <w:i/>
        </w:rPr>
      </w:pPr>
      <w:r w:rsidRPr="00007B07">
        <w:rPr>
          <w:rFonts w:cstheme="minorHAnsi"/>
          <w:i/>
        </w:rPr>
        <w:t>draws on a wide body of knowledge, emanating from various stances and a robust research evidence base</w:t>
      </w:r>
      <w:r w:rsidR="00E643EA" w:rsidRPr="00007B07">
        <w:rPr>
          <w:rFonts w:cstheme="minorHAnsi"/>
          <w:i/>
        </w:rPr>
        <w:t xml:space="preserve"> (</w:t>
      </w:r>
      <w:r w:rsidR="0036277D" w:rsidRPr="00007B07">
        <w:rPr>
          <w:rFonts w:cstheme="minorHAnsi"/>
          <w:i/>
          <w:lang w:val="en-AU"/>
        </w:rPr>
        <w:t>Brouwer and Korthagen, 2005;</w:t>
      </w:r>
      <w:r w:rsidR="00D03D26" w:rsidRPr="00007B07">
        <w:rPr>
          <w:rFonts w:cstheme="minorHAnsi"/>
          <w:i/>
          <w:lang w:val="en-AU"/>
        </w:rPr>
        <w:t xml:space="preserve"> Hagger &amp; McIntyre, 2006; </w:t>
      </w:r>
      <w:r w:rsidR="00E643EA" w:rsidRPr="00007B07">
        <w:rPr>
          <w:rFonts w:cstheme="minorHAnsi"/>
          <w:i/>
        </w:rPr>
        <w:t>Darling-Hammond, 2006; Ingvarson et al, 2014)</w:t>
      </w:r>
    </w:p>
    <w:p w14:paraId="6CDC0EBF" w14:textId="3BADEB9A" w:rsidR="0014540E" w:rsidRPr="00007B07" w:rsidRDefault="0014540E" w:rsidP="00C17626">
      <w:pPr>
        <w:pStyle w:val="ListParagraph"/>
        <w:numPr>
          <w:ilvl w:val="0"/>
          <w:numId w:val="2"/>
        </w:numPr>
        <w:rPr>
          <w:rFonts w:cstheme="minorHAnsi"/>
          <w:i/>
          <w:lang w:val="en-US"/>
        </w:rPr>
      </w:pPr>
      <w:r w:rsidRPr="00007B07">
        <w:rPr>
          <w:rFonts w:cstheme="minorHAnsi"/>
          <w:i/>
        </w:rPr>
        <w:t>accepts that knowledge is contested, contestable</w:t>
      </w:r>
      <w:r w:rsidR="00C17626" w:rsidRPr="00007B07">
        <w:rPr>
          <w:rFonts w:cstheme="minorHAnsi"/>
          <w:i/>
        </w:rPr>
        <w:t xml:space="preserve"> (</w:t>
      </w:r>
      <w:r w:rsidR="00C17626" w:rsidRPr="00007B07">
        <w:rPr>
          <w:rFonts w:cstheme="minorHAnsi"/>
          <w:i/>
          <w:lang w:val="en-US"/>
        </w:rPr>
        <w:t>Korthagen, Loughran &amp; Russell, 2006)</w:t>
      </w:r>
    </w:p>
    <w:p w14:paraId="512EABFF" w14:textId="2AEC42E6" w:rsidR="0014540E" w:rsidRPr="00007B07" w:rsidRDefault="0014540E" w:rsidP="0014540E">
      <w:pPr>
        <w:pStyle w:val="ListParagraph"/>
        <w:numPr>
          <w:ilvl w:val="0"/>
          <w:numId w:val="2"/>
        </w:numPr>
        <w:rPr>
          <w:rFonts w:cstheme="minorHAnsi"/>
          <w:i/>
        </w:rPr>
      </w:pPr>
      <w:r w:rsidRPr="00007B07">
        <w:rPr>
          <w:rFonts w:cstheme="minorHAnsi"/>
          <w:i/>
        </w:rPr>
        <w:t>is embedded in ethical practice</w:t>
      </w:r>
      <w:r w:rsidR="00E643EA" w:rsidRPr="00007B07">
        <w:rPr>
          <w:rFonts w:cstheme="minorHAnsi"/>
          <w:i/>
        </w:rPr>
        <w:t xml:space="preserve"> (Ingvarson et al, 2014)</w:t>
      </w:r>
    </w:p>
    <w:p w14:paraId="06894429" w14:textId="77777777" w:rsidR="0014540E" w:rsidRPr="00007B07" w:rsidRDefault="0014540E" w:rsidP="0014540E">
      <w:pPr>
        <w:pStyle w:val="ListParagraph"/>
        <w:numPr>
          <w:ilvl w:val="0"/>
          <w:numId w:val="2"/>
        </w:numPr>
        <w:rPr>
          <w:rFonts w:cstheme="minorHAnsi"/>
          <w:i/>
        </w:rPr>
      </w:pPr>
      <w:r w:rsidRPr="00007B07">
        <w:rPr>
          <w:rFonts w:cstheme="minorHAnsi"/>
          <w:i/>
        </w:rPr>
        <w:t xml:space="preserve">pays careful attention to the factors that promote healthy learning environment for teachers and learners </w:t>
      </w:r>
    </w:p>
    <w:p w14:paraId="5B08894C" w14:textId="21E01F49" w:rsidR="0014540E" w:rsidRPr="00007B07" w:rsidRDefault="0014540E" w:rsidP="0014540E">
      <w:pPr>
        <w:pStyle w:val="ListParagraph"/>
        <w:numPr>
          <w:ilvl w:val="0"/>
          <w:numId w:val="2"/>
        </w:numPr>
        <w:rPr>
          <w:rFonts w:cstheme="minorHAnsi"/>
          <w:i/>
        </w:rPr>
      </w:pPr>
      <w:r w:rsidRPr="00007B07">
        <w:rPr>
          <w:rFonts w:eastAsia="Times New Roman" w:cstheme="minorHAnsi"/>
          <w:i/>
          <w:lang w:eastAsia="en-GB"/>
        </w:rPr>
        <w:t xml:space="preserve">contextualises the role of the teacher within wider local, regional, national and international contexts </w:t>
      </w:r>
      <w:r w:rsidR="00D03D26" w:rsidRPr="00007B07">
        <w:rPr>
          <w:rFonts w:eastAsia="Times New Roman" w:cstheme="minorHAnsi"/>
          <w:i/>
          <w:lang w:eastAsia="en-GB"/>
        </w:rPr>
        <w:t>(Hagger &amp; McIntyre, 2006)</w:t>
      </w:r>
    </w:p>
    <w:p w14:paraId="1E5B792B" w14:textId="5884A7A7" w:rsidR="00DC51E9" w:rsidRPr="00007B07" w:rsidRDefault="0014540E" w:rsidP="00DC51E9">
      <w:pPr>
        <w:pStyle w:val="ListParagraph"/>
        <w:numPr>
          <w:ilvl w:val="0"/>
          <w:numId w:val="2"/>
        </w:numPr>
        <w:rPr>
          <w:rFonts w:cstheme="minorHAnsi"/>
          <w:i/>
        </w:rPr>
      </w:pPr>
      <w:r w:rsidRPr="00007B07">
        <w:rPr>
          <w:rFonts w:cstheme="minorHAnsi"/>
          <w:i/>
        </w:rPr>
        <w:t>has a positive, transformational impact on communities</w:t>
      </w:r>
      <w:r w:rsidR="00C17626" w:rsidRPr="00007B07">
        <w:rPr>
          <w:rFonts w:cstheme="minorHAnsi"/>
          <w:i/>
        </w:rPr>
        <w:t xml:space="preserve"> (Mills, 2013</w:t>
      </w:r>
      <w:r w:rsidR="00E403BD" w:rsidRPr="00007B07">
        <w:rPr>
          <w:rFonts w:cstheme="minorHAnsi"/>
          <w:i/>
        </w:rPr>
        <w:t>;</w:t>
      </w:r>
      <w:r w:rsidR="00D03D26" w:rsidRPr="00007B07">
        <w:rPr>
          <w:rFonts w:cstheme="minorHAnsi"/>
          <w:i/>
        </w:rPr>
        <w:t xml:space="preserve"> Zeichner et al, 2015</w:t>
      </w:r>
      <w:r w:rsidR="00C17626" w:rsidRPr="00007B07">
        <w:rPr>
          <w:rFonts w:cstheme="minorHAnsi"/>
          <w:i/>
        </w:rPr>
        <w:t>)</w:t>
      </w:r>
    </w:p>
    <w:p w14:paraId="6BE1268D" w14:textId="5CEACECB" w:rsidR="00DC51E9" w:rsidRPr="00007B07" w:rsidRDefault="00DC51E9" w:rsidP="00DC51E9">
      <w:pPr>
        <w:pStyle w:val="ListParagraph"/>
        <w:numPr>
          <w:ilvl w:val="0"/>
          <w:numId w:val="2"/>
        </w:numPr>
        <w:rPr>
          <w:rFonts w:cstheme="minorHAnsi"/>
          <w:i/>
        </w:rPr>
      </w:pPr>
      <w:r w:rsidRPr="00007B07">
        <w:rPr>
          <w:rFonts w:cstheme="minorHAnsi"/>
          <w:i/>
        </w:rPr>
        <w:t>contributes to the development of more socially just and sustainable societies</w:t>
      </w:r>
      <w:r w:rsidR="00E643EA" w:rsidRPr="00007B07">
        <w:rPr>
          <w:rFonts w:cstheme="minorHAnsi"/>
          <w:i/>
        </w:rPr>
        <w:t xml:space="preserve"> (Ingvarson et al, 2014)</w:t>
      </w:r>
    </w:p>
    <w:p w14:paraId="25AFFF48" w14:textId="77777777" w:rsidR="00DC51E9" w:rsidRPr="00007B07" w:rsidRDefault="00DC51E9" w:rsidP="00DC51E9">
      <w:pPr>
        <w:pStyle w:val="ListParagraph"/>
        <w:rPr>
          <w:rFonts w:cstheme="minorHAnsi"/>
          <w:i/>
        </w:rPr>
      </w:pPr>
    </w:p>
    <w:p w14:paraId="44299A55" w14:textId="33D90286" w:rsidR="0014540E" w:rsidRPr="00007B07" w:rsidRDefault="0014540E" w:rsidP="0014540E">
      <w:pPr>
        <w:rPr>
          <w:rFonts w:cstheme="minorHAnsi"/>
          <w:i/>
        </w:rPr>
      </w:pPr>
    </w:p>
    <w:p w14:paraId="2742AA78" w14:textId="439284A0" w:rsidR="004B7AAB" w:rsidRPr="00007B07" w:rsidRDefault="004B7AAB" w:rsidP="0014540E">
      <w:pPr>
        <w:rPr>
          <w:rFonts w:cstheme="minorHAnsi"/>
          <w:i/>
        </w:rPr>
      </w:pPr>
    </w:p>
    <w:p w14:paraId="0DDD37EB" w14:textId="4EEC77BD" w:rsidR="0014540E" w:rsidRPr="00007B07" w:rsidRDefault="0014540E" w:rsidP="0014540E">
      <w:pPr>
        <w:rPr>
          <w:rFonts w:cstheme="minorHAnsi"/>
          <w:i/>
        </w:rPr>
      </w:pPr>
      <w:r w:rsidRPr="00007B07">
        <w:rPr>
          <w:rFonts w:cstheme="minorHAnsi"/>
          <w:i/>
        </w:rPr>
        <w:t>Characteristics of high-quality teacher education are that it encourages educators to:</w:t>
      </w:r>
    </w:p>
    <w:p w14:paraId="7AB6ECA9" w14:textId="6BB6A7C8" w:rsidR="0014540E" w:rsidRPr="00007B07" w:rsidRDefault="0014540E" w:rsidP="0014540E">
      <w:pPr>
        <w:pStyle w:val="ListParagraph"/>
        <w:numPr>
          <w:ilvl w:val="0"/>
          <w:numId w:val="1"/>
        </w:numPr>
        <w:rPr>
          <w:rFonts w:cstheme="minorHAnsi"/>
          <w:i/>
        </w:rPr>
      </w:pPr>
      <w:r w:rsidRPr="00007B07">
        <w:rPr>
          <w:rFonts w:cstheme="minorHAnsi"/>
          <w:i/>
        </w:rPr>
        <w:t>recognise and understand that educating is a professional, thoughtful and intellectual endeavour</w:t>
      </w:r>
      <w:r w:rsidR="0036277D" w:rsidRPr="00007B07">
        <w:rPr>
          <w:rFonts w:cstheme="minorHAnsi"/>
          <w:i/>
        </w:rPr>
        <w:t xml:space="preserve"> (Darling-Hammond, 2006</w:t>
      </w:r>
      <w:r w:rsidR="00D03D26" w:rsidRPr="00007B07">
        <w:rPr>
          <w:rFonts w:cstheme="minorHAnsi"/>
          <w:i/>
        </w:rPr>
        <w:t>; Hagger &amp; McIntyre, 2006</w:t>
      </w:r>
      <w:r w:rsidR="0036277D" w:rsidRPr="00007B07">
        <w:rPr>
          <w:rFonts w:cstheme="minorHAnsi"/>
          <w:i/>
        </w:rPr>
        <w:t>)</w:t>
      </w:r>
    </w:p>
    <w:p w14:paraId="56A21BBC" w14:textId="36BB0493" w:rsidR="0014540E" w:rsidRPr="00007B07" w:rsidRDefault="0014540E" w:rsidP="0014540E">
      <w:pPr>
        <w:pStyle w:val="ListParagraph"/>
        <w:numPr>
          <w:ilvl w:val="0"/>
          <w:numId w:val="1"/>
        </w:numPr>
        <w:rPr>
          <w:rFonts w:cstheme="minorHAnsi"/>
          <w:i/>
        </w:rPr>
      </w:pPr>
      <w:r w:rsidRPr="00007B07">
        <w:rPr>
          <w:rFonts w:cstheme="minorHAnsi"/>
          <w:i/>
        </w:rPr>
        <w:t>recognise and understand the responsibilities of educators and education as a whole</w:t>
      </w:r>
      <w:r w:rsidR="00E41BD4" w:rsidRPr="00007B07">
        <w:rPr>
          <w:rFonts w:cstheme="minorHAnsi"/>
          <w:i/>
        </w:rPr>
        <w:t xml:space="preserve"> (AACTE, 2010)</w:t>
      </w:r>
    </w:p>
    <w:p w14:paraId="240EDD61" w14:textId="247C5067" w:rsidR="0014540E" w:rsidRPr="00007B07" w:rsidRDefault="0014540E" w:rsidP="0014540E">
      <w:pPr>
        <w:pStyle w:val="ListParagraph"/>
        <w:numPr>
          <w:ilvl w:val="0"/>
          <w:numId w:val="1"/>
        </w:numPr>
        <w:rPr>
          <w:rFonts w:cstheme="minorHAnsi"/>
          <w:i/>
        </w:rPr>
      </w:pPr>
      <w:r w:rsidRPr="00007B07">
        <w:rPr>
          <w:rFonts w:cstheme="minorHAnsi"/>
          <w:i/>
        </w:rPr>
        <w:t xml:space="preserve">recognise the social responsibilities of education </w:t>
      </w:r>
      <w:r w:rsidR="00C90F95" w:rsidRPr="00007B07">
        <w:rPr>
          <w:rFonts w:cstheme="minorHAnsi"/>
          <w:i/>
        </w:rPr>
        <w:t>e.g.</w:t>
      </w:r>
      <w:r w:rsidRPr="00007B07">
        <w:rPr>
          <w:rFonts w:cstheme="minorHAnsi"/>
          <w:i/>
        </w:rPr>
        <w:t xml:space="preserve"> working towards a socially just and sustainable world</w:t>
      </w:r>
      <w:r w:rsidR="00C17626" w:rsidRPr="00007B07">
        <w:rPr>
          <w:rFonts w:cstheme="minorHAnsi"/>
          <w:i/>
        </w:rPr>
        <w:t xml:space="preserve"> (Mills, 2013)</w:t>
      </w:r>
    </w:p>
    <w:p w14:paraId="694FA329" w14:textId="38D4B830" w:rsidR="0014540E" w:rsidRPr="00007B07" w:rsidRDefault="0014540E" w:rsidP="0014540E">
      <w:pPr>
        <w:pStyle w:val="ListParagraph"/>
        <w:numPr>
          <w:ilvl w:val="0"/>
          <w:numId w:val="1"/>
        </w:numPr>
        <w:rPr>
          <w:rFonts w:cstheme="minorHAnsi"/>
          <w:i/>
        </w:rPr>
      </w:pPr>
      <w:r w:rsidRPr="00007B07">
        <w:rPr>
          <w:rFonts w:cstheme="minorHAnsi"/>
          <w:i/>
        </w:rPr>
        <w:t>recognise the potentially transformatory role of education</w:t>
      </w:r>
      <w:r w:rsidR="00E403BD" w:rsidRPr="00007B07">
        <w:rPr>
          <w:rFonts w:cstheme="minorHAnsi"/>
          <w:i/>
        </w:rPr>
        <w:t xml:space="preserve"> (</w:t>
      </w:r>
      <w:r w:rsidR="000B3D13" w:rsidRPr="00007B07">
        <w:rPr>
          <w:rFonts w:cstheme="minorHAnsi"/>
          <w:i/>
        </w:rPr>
        <w:t>Hart et al, 2004)</w:t>
      </w:r>
    </w:p>
    <w:p w14:paraId="2F333C54" w14:textId="77777777" w:rsidR="0014540E" w:rsidRPr="00007B07" w:rsidRDefault="0014540E" w:rsidP="0014540E">
      <w:pPr>
        <w:pStyle w:val="ListParagraph"/>
        <w:numPr>
          <w:ilvl w:val="0"/>
          <w:numId w:val="1"/>
        </w:numPr>
        <w:rPr>
          <w:rFonts w:cstheme="minorHAnsi"/>
          <w:i/>
        </w:rPr>
      </w:pPr>
      <w:r w:rsidRPr="00007B07">
        <w:rPr>
          <w:rFonts w:cstheme="minorHAnsi"/>
          <w:i/>
        </w:rPr>
        <w:t xml:space="preserve">be independent thinkers </w:t>
      </w:r>
    </w:p>
    <w:p w14:paraId="5B9E3396" w14:textId="7C9410ED" w:rsidR="0014540E" w:rsidRPr="00007B07" w:rsidRDefault="0014540E" w:rsidP="0014540E">
      <w:pPr>
        <w:pStyle w:val="ListParagraph"/>
        <w:numPr>
          <w:ilvl w:val="0"/>
          <w:numId w:val="1"/>
        </w:numPr>
        <w:rPr>
          <w:rFonts w:cstheme="minorHAnsi"/>
          <w:i/>
        </w:rPr>
      </w:pPr>
      <w:r w:rsidRPr="00007B07">
        <w:rPr>
          <w:rFonts w:cstheme="minorHAnsi"/>
          <w:i/>
        </w:rPr>
        <w:t>be self-aware (e.g. of own values, dispositions, bias, cultural background, strengths and areas for development)</w:t>
      </w:r>
      <w:r w:rsidR="00E643EA" w:rsidRPr="00007B07">
        <w:rPr>
          <w:rFonts w:cstheme="minorHAnsi"/>
          <w:i/>
        </w:rPr>
        <w:t xml:space="preserve"> (</w:t>
      </w:r>
      <w:r w:rsidR="0036277D" w:rsidRPr="00007B07">
        <w:rPr>
          <w:rFonts w:cstheme="minorHAnsi"/>
          <w:i/>
        </w:rPr>
        <w:t xml:space="preserve">Darling-Hammond, 2006; </w:t>
      </w:r>
      <w:r w:rsidR="00E643EA" w:rsidRPr="00007B07">
        <w:rPr>
          <w:rFonts w:cstheme="minorHAnsi"/>
          <w:i/>
        </w:rPr>
        <w:t>Ingvarson et al 2014)</w:t>
      </w:r>
    </w:p>
    <w:p w14:paraId="5F2DEFDC" w14:textId="2FB18449" w:rsidR="0014540E" w:rsidRPr="00007B07" w:rsidRDefault="0014540E" w:rsidP="0014540E">
      <w:pPr>
        <w:pStyle w:val="ListParagraph"/>
        <w:numPr>
          <w:ilvl w:val="0"/>
          <w:numId w:val="1"/>
        </w:numPr>
        <w:rPr>
          <w:rFonts w:cstheme="minorHAnsi"/>
          <w:i/>
        </w:rPr>
      </w:pPr>
      <w:r w:rsidRPr="00007B07">
        <w:rPr>
          <w:rFonts w:cstheme="minorHAnsi"/>
          <w:i/>
        </w:rPr>
        <w:t>be aware of others and sensitive to their needs</w:t>
      </w:r>
      <w:r w:rsidR="00E643EA" w:rsidRPr="00007B07">
        <w:rPr>
          <w:rFonts w:cstheme="minorHAnsi"/>
          <w:i/>
        </w:rPr>
        <w:t xml:space="preserve"> (Ingvarson et al, 2014)</w:t>
      </w:r>
    </w:p>
    <w:p w14:paraId="0057BA1F" w14:textId="6C40AB37" w:rsidR="0014540E" w:rsidRPr="00007B07" w:rsidRDefault="0014540E" w:rsidP="0014540E">
      <w:pPr>
        <w:pStyle w:val="ListParagraph"/>
        <w:numPr>
          <w:ilvl w:val="0"/>
          <w:numId w:val="1"/>
        </w:numPr>
        <w:rPr>
          <w:rFonts w:cstheme="minorHAnsi"/>
          <w:i/>
        </w:rPr>
      </w:pPr>
      <w:r w:rsidRPr="00007B07">
        <w:rPr>
          <w:rFonts w:cstheme="minorHAnsi"/>
          <w:i/>
        </w:rPr>
        <w:t>be innovative, creative and open and receptive to new ideas</w:t>
      </w:r>
      <w:r w:rsidR="00D03D26" w:rsidRPr="00007B07">
        <w:rPr>
          <w:rFonts w:cstheme="minorHAnsi"/>
          <w:i/>
        </w:rPr>
        <w:t xml:space="preserve"> (Hagger &amp; McIntyre, 2006)</w:t>
      </w:r>
    </w:p>
    <w:p w14:paraId="408BD9A7" w14:textId="22999B1E" w:rsidR="0014540E" w:rsidRPr="00007B07" w:rsidRDefault="0014540E" w:rsidP="0014540E">
      <w:pPr>
        <w:pStyle w:val="ListParagraph"/>
        <w:numPr>
          <w:ilvl w:val="0"/>
          <w:numId w:val="1"/>
        </w:numPr>
        <w:rPr>
          <w:rFonts w:cstheme="minorHAnsi"/>
          <w:i/>
        </w:rPr>
      </w:pPr>
      <w:r w:rsidRPr="00007B07">
        <w:rPr>
          <w:rFonts w:cstheme="minorHAnsi"/>
          <w:i/>
        </w:rPr>
        <w:t>analyse and interrogate evidence and arguments</w:t>
      </w:r>
      <w:r w:rsidR="00D03D26" w:rsidRPr="00007B07">
        <w:rPr>
          <w:rFonts w:cstheme="minorHAnsi"/>
          <w:i/>
        </w:rPr>
        <w:t xml:space="preserve"> (Hagger &amp; McIntyre, 2006)</w:t>
      </w:r>
    </w:p>
    <w:p w14:paraId="5029C3D2" w14:textId="77D717B5" w:rsidR="0014540E" w:rsidRPr="00007B07" w:rsidRDefault="0014540E" w:rsidP="0014540E">
      <w:pPr>
        <w:pStyle w:val="ListParagraph"/>
        <w:numPr>
          <w:ilvl w:val="0"/>
          <w:numId w:val="1"/>
        </w:numPr>
        <w:rPr>
          <w:rFonts w:cstheme="minorHAnsi"/>
          <w:i/>
        </w:rPr>
      </w:pPr>
      <w:r w:rsidRPr="00007B07">
        <w:rPr>
          <w:rFonts w:cstheme="minorHAnsi"/>
          <w:i/>
        </w:rPr>
        <w:t>develop the ability and confidence to draw from a wide range of evidence to make informed decisions about practice</w:t>
      </w:r>
      <w:r w:rsidR="00C17626" w:rsidRPr="00007B07">
        <w:rPr>
          <w:rFonts w:cstheme="minorHAnsi"/>
          <w:i/>
        </w:rPr>
        <w:t xml:space="preserve"> (Furlong et al, 2000)</w:t>
      </w:r>
    </w:p>
    <w:p w14:paraId="6D4A2395" w14:textId="698C43F4" w:rsidR="0014540E" w:rsidRPr="00007B07" w:rsidRDefault="0014540E" w:rsidP="0014540E">
      <w:pPr>
        <w:pStyle w:val="ListParagraph"/>
        <w:numPr>
          <w:ilvl w:val="0"/>
          <w:numId w:val="1"/>
        </w:numPr>
        <w:rPr>
          <w:rFonts w:cstheme="minorHAnsi"/>
          <w:i/>
        </w:rPr>
      </w:pPr>
      <w:r w:rsidRPr="00007B07">
        <w:rPr>
          <w:rFonts w:cstheme="minorHAnsi"/>
          <w:i/>
        </w:rPr>
        <w:t>search for theories and research that underpin practice</w:t>
      </w:r>
      <w:r w:rsidR="00E643EA" w:rsidRPr="00007B07">
        <w:rPr>
          <w:rFonts w:cstheme="minorHAnsi"/>
          <w:i/>
        </w:rPr>
        <w:t xml:space="preserve"> (</w:t>
      </w:r>
      <w:r w:rsidR="0036277D" w:rsidRPr="00007B07">
        <w:rPr>
          <w:rFonts w:cstheme="minorHAnsi"/>
          <w:i/>
          <w:lang w:val="en-AU"/>
        </w:rPr>
        <w:t xml:space="preserve">Brouwer and Korthagen, 2005 ; </w:t>
      </w:r>
      <w:r w:rsidR="00E643EA" w:rsidRPr="00007B07">
        <w:rPr>
          <w:rFonts w:cstheme="minorHAnsi"/>
          <w:i/>
        </w:rPr>
        <w:t>Ingvarson et al, 2014)</w:t>
      </w:r>
    </w:p>
    <w:p w14:paraId="5043F23B" w14:textId="70789153" w:rsidR="0014540E" w:rsidRPr="00007B07" w:rsidRDefault="0014540E" w:rsidP="0014540E">
      <w:pPr>
        <w:pStyle w:val="ListParagraph"/>
        <w:numPr>
          <w:ilvl w:val="0"/>
          <w:numId w:val="1"/>
        </w:numPr>
        <w:rPr>
          <w:rFonts w:cstheme="minorHAnsi"/>
          <w:i/>
        </w:rPr>
      </w:pPr>
      <w:r w:rsidRPr="00007B07">
        <w:rPr>
          <w:rFonts w:cstheme="minorHAnsi"/>
          <w:i/>
        </w:rPr>
        <w:t>be reflective and learn from experience as well as other sources of knowledge</w:t>
      </w:r>
      <w:r w:rsidR="00E403BD" w:rsidRPr="00007B07">
        <w:rPr>
          <w:rFonts w:cstheme="minorHAnsi"/>
          <w:i/>
        </w:rPr>
        <w:t xml:space="preserve"> (Hagger &amp; McIntyre, 2006)</w:t>
      </w:r>
    </w:p>
    <w:p w14:paraId="59B098E0" w14:textId="38BE6A3F" w:rsidR="0014540E" w:rsidRPr="00007B07" w:rsidRDefault="0014540E" w:rsidP="0014540E">
      <w:pPr>
        <w:pStyle w:val="ListParagraph"/>
        <w:numPr>
          <w:ilvl w:val="0"/>
          <w:numId w:val="1"/>
        </w:numPr>
        <w:rPr>
          <w:rFonts w:cstheme="minorHAnsi"/>
          <w:i/>
        </w:rPr>
      </w:pPr>
      <w:r w:rsidRPr="00007B07">
        <w:rPr>
          <w:rFonts w:cstheme="minorHAnsi"/>
          <w:i/>
        </w:rPr>
        <w:t>be authentic and ethical and to act with integrity</w:t>
      </w:r>
    </w:p>
    <w:p w14:paraId="66E5A23D" w14:textId="086AD4FE" w:rsidR="0014540E" w:rsidRPr="00007B07" w:rsidRDefault="0014540E" w:rsidP="0014540E">
      <w:pPr>
        <w:pStyle w:val="ListParagraph"/>
        <w:numPr>
          <w:ilvl w:val="0"/>
          <w:numId w:val="1"/>
        </w:numPr>
        <w:rPr>
          <w:rFonts w:cstheme="minorHAnsi"/>
          <w:i/>
        </w:rPr>
      </w:pPr>
      <w:r w:rsidRPr="00007B07">
        <w:rPr>
          <w:rFonts w:cstheme="minorHAnsi"/>
          <w:i/>
        </w:rPr>
        <w:t>recognise that knowledge is contestable, provisional and contingent</w:t>
      </w:r>
      <w:r w:rsidR="00E403BD" w:rsidRPr="00007B07">
        <w:rPr>
          <w:rFonts w:cstheme="minorHAnsi"/>
          <w:i/>
        </w:rPr>
        <w:t xml:space="preserve"> (</w:t>
      </w:r>
      <w:r w:rsidR="00E403BD" w:rsidRPr="00007B07">
        <w:rPr>
          <w:rFonts w:cstheme="minorHAnsi"/>
          <w:i/>
          <w:lang w:val="en-US"/>
        </w:rPr>
        <w:t>Korthagen, Loughran &amp; Russell, 2006; Rowland &amp; Turner, 2007)</w:t>
      </w:r>
    </w:p>
    <w:p w14:paraId="128DE856" w14:textId="4A391DA7" w:rsidR="0014540E" w:rsidRPr="00007B07" w:rsidRDefault="0014540E" w:rsidP="0014540E">
      <w:pPr>
        <w:pStyle w:val="ListParagraph"/>
        <w:numPr>
          <w:ilvl w:val="0"/>
          <w:numId w:val="1"/>
        </w:numPr>
        <w:rPr>
          <w:rFonts w:cstheme="minorHAnsi"/>
          <w:i/>
        </w:rPr>
      </w:pPr>
      <w:r w:rsidRPr="00007B07">
        <w:rPr>
          <w:rFonts w:cstheme="minorHAnsi"/>
          <w:i/>
        </w:rPr>
        <w:t xml:space="preserve">understand that teaching is a complex activity that draws upon a long history and a wide range of disciplines and knowledge bases </w:t>
      </w:r>
      <w:r w:rsidR="00C17626" w:rsidRPr="00007B07">
        <w:rPr>
          <w:rFonts w:cstheme="minorHAnsi"/>
          <w:i/>
        </w:rPr>
        <w:t>(Furlong et al, 2000)</w:t>
      </w:r>
    </w:p>
    <w:p w14:paraId="0A7E4DEB" w14:textId="77777777" w:rsidR="0036277D" w:rsidRPr="00007B07" w:rsidRDefault="0036277D" w:rsidP="0014540E">
      <w:pPr>
        <w:rPr>
          <w:lang w:val="en-AU"/>
        </w:rPr>
      </w:pPr>
    </w:p>
    <w:p w14:paraId="2FA1510A" w14:textId="31561DA0" w:rsidR="0014540E" w:rsidRPr="0014540E" w:rsidRDefault="0014540E" w:rsidP="0014540E">
      <w:pPr>
        <w:pStyle w:val="CommentText"/>
        <w:rPr>
          <w:rFonts w:cstheme="minorHAnsi"/>
          <w:sz w:val="22"/>
          <w:szCs w:val="22"/>
        </w:rPr>
      </w:pPr>
      <w:r w:rsidRPr="0014540E">
        <w:rPr>
          <w:rFonts w:cstheme="minorHAnsi"/>
          <w:sz w:val="22"/>
          <w:szCs w:val="22"/>
        </w:rPr>
        <w:t>Universities are well placed to achieve these characteristics as they offer space to think and reflect, to critique, analyse and test ideas, to explore existing research and create new research that can inform and guide practice. They provide a safe environment in which to explore ideas and they have a civic duty to seek new knowledge in an impartial manner without imposed agenda</w:t>
      </w:r>
      <w:r w:rsidR="00C90F95">
        <w:rPr>
          <w:rFonts w:cstheme="minorHAnsi"/>
          <w:sz w:val="22"/>
          <w:szCs w:val="22"/>
        </w:rPr>
        <w:t>s</w:t>
      </w:r>
      <w:r w:rsidRPr="0014540E">
        <w:rPr>
          <w:rFonts w:cstheme="minorHAnsi"/>
          <w:sz w:val="22"/>
          <w:szCs w:val="22"/>
        </w:rPr>
        <w:t xml:space="preserve"> or motive</w:t>
      </w:r>
      <w:r w:rsidR="00C90F95">
        <w:rPr>
          <w:rFonts w:cstheme="minorHAnsi"/>
          <w:sz w:val="22"/>
          <w:szCs w:val="22"/>
        </w:rPr>
        <w:t>s</w:t>
      </w:r>
      <w:r w:rsidRPr="0014540E">
        <w:rPr>
          <w:rFonts w:cstheme="minorHAnsi"/>
          <w:sz w:val="22"/>
          <w:szCs w:val="22"/>
        </w:rPr>
        <w:t>.</w:t>
      </w:r>
    </w:p>
    <w:p w14:paraId="29D921D0" w14:textId="77777777" w:rsidR="000B3D13" w:rsidRDefault="000B3D13" w:rsidP="0014540E">
      <w:pPr>
        <w:rPr>
          <w:rFonts w:cstheme="minorHAnsi"/>
        </w:rPr>
      </w:pPr>
    </w:p>
    <w:p w14:paraId="5AAEBFCD" w14:textId="3645ABB5" w:rsidR="0014540E" w:rsidRDefault="000B3D13" w:rsidP="0014540E">
      <w:pPr>
        <w:rPr>
          <w:rFonts w:cstheme="minorHAnsi"/>
        </w:rPr>
      </w:pPr>
      <w:r>
        <w:rPr>
          <w:rFonts w:cstheme="minorHAnsi"/>
        </w:rPr>
        <w:t>References:</w:t>
      </w:r>
    </w:p>
    <w:p w14:paraId="4A8E9C2B" w14:textId="77777777" w:rsidR="000B3D13" w:rsidRPr="00E41BD4" w:rsidRDefault="000B3D13" w:rsidP="000B3D13">
      <w:pPr>
        <w:rPr>
          <w:rFonts w:cstheme="minorHAnsi"/>
          <w:lang w:val="en-US"/>
        </w:rPr>
      </w:pPr>
      <w:r w:rsidRPr="00E41BD4">
        <w:rPr>
          <w:rFonts w:cstheme="minorHAnsi"/>
          <w:lang w:val="en-US"/>
        </w:rPr>
        <w:t xml:space="preserve">American Association of Colleges for Teacher Education (2010) </w:t>
      </w:r>
      <w:r w:rsidRPr="00E41BD4">
        <w:rPr>
          <w:rFonts w:cstheme="minorHAnsi"/>
          <w:i/>
          <w:lang w:val="en-US"/>
        </w:rPr>
        <w:t>The Clinical Preparation of Teachers: A Policy Brief,</w:t>
      </w:r>
      <w:r w:rsidRPr="00E41BD4">
        <w:rPr>
          <w:rFonts w:cstheme="minorHAnsi"/>
          <w:lang w:val="en-US"/>
        </w:rPr>
        <w:t xml:space="preserve"> Washington DC: American Association of Colleges for Teacher Education</w:t>
      </w:r>
    </w:p>
    <w:p w14:paraId="5C09E76D" w14:textId="77777777" w:rsidR="000B3D13" w:rsidRPr="0036277D" w:rsidRDefault="000B3D13" w:rsidP="000B3D13">
      <w:pPr>
        <w:rPr>
          <w:rFonts w:cstheme="minorHAnsi"/>
          <w:lang w:val="en-US"/>
        </w:rPr>
      </w:pPr>
      <w:r w:rsidRPr="0036277D">
        <w:rPr>
          <w:rFonts w:cstheme="minorHAnsi"/>
          <w:lang w:val="en-US"/>
        </w:rPr>
        <w:t xml:space="preserve">Brouwer, N., &amp; Korthagen, F. (2005). Can teacher education make a difference? </w:t>
      </w:r>
      <w:r w:rsidRPr="0036277D">
        <w:rPr>
          <w:rFonts w:cstheme="minorHAnsi"/>
          <w:i/>
          <w:lang w:val="en-US"/>
        </w:rPr>
        <w:t>American Education Research Journal, 42</w:t>
      </w:r>
      <w:r w:rsidRPr="0036277D">
        <w:rPr>
          <w:rFonts w:cstheme="minorHAnsi"/>
          <w:lang w:val="en-US"/>
        </w:rPr>
        <w:t xml:space="preserve">(1), 153-224. </w:t>
      </w:r>
    </w:p>
    <w:p w14:paraId="03001738" w14:textId="77777777" w:rsidR="000B3D13" w:rsidRPr="00E643EA" w:rsidRDefault="000B3D13" w:rsidP="000B3D13">
      <w:pPr>
        <w:rPr>
          <w:rFonts w:cstheme="minorHAnsi"/>
          <w:lang w:val="en-US"/>
        </w:rPr>
      </w:pPr>
      <w:r w:rsidRPr="00E643EA">
        <w:rPr>
          <w:rFonts w:cstheme="minorHAnsi"/>
          <w:lang w:val="en-US"/>
        </w:rPr>
        <w:t xml:space="preserve">Darling-Hammond, L. (2006). </w:t>
      </w:r>
      <w:r w:rsidRPr="00E643EA">
        <w:rPr>
          <w:rFonts w:cstheme="minorHAnsi"/>
          <w:i/>
          <w:lang w:val="en-US"/>
        </w:rPr>
        <w:t>Powerful Teacher Education: Lessons from exemplary programs</w:t>
      </w:r>
      <w:r w:rsidRPr="00E643EA">
        <w:rPr>
          <w:rFonts w:cstheme="minorHAnsi"/>
          <w:lang w:val="en-US"/>
        </w:rPr>
        <w:t>. San Francisco: Jossey-Bass.</w:t>
      </w:r>
    </w:p>
    <w:p w14:paraId="358771EC" w14:textId="77777777" w:rsidR="000B3D13" w:rsidRPr="00C17626" w:rsidRDefault="000B3D13" w:rsidP="000B3D13">
      <w:pPr>
        <w:rPr>
          <w:rFonts w:cstheme="minorHAnsi"/>
          <w:lang w:val="en-US"/>
        </w:rPr>
      </w:pPr>
      <w:r w:rsidRPr="00C17626">
        <w:rPr>
          <w:rFonts w:cstheme="minorHAnsi"/>
          <w:lang w:val="en-US"/>
        </w:rPr>
        <w:t xml:space="preserve">Furlong, J., Barton, L., Miles, S., Whiting, C. and Whitty, G. (2000) </w:t>
      </w:r>
      <w:r w:rsidRPr="00C17626">
        <w:rPr>
          <w:rFonts w:cstheme="minorHAnsi"/>
          <w:i/>
          <w:iCs/>
          <w:lang w:val="en-US"/>
        </w:rPr>
        <w:t xml:space="preserve">Teacher Education in Transition: Reforming professionalism? </w:t>
      </w:r>
      <w:r w:rsidRPr="00C17626">
        <w:rPr>
          <w:rFonts w:cstheme="minorHAnsi"/>
          <w:lang w:val="en-US"/>
        </w:rPr>
        <w:t xml:space="preserve">Buckingham: Open University Press </w:t>
      </w:r>
    </w:p>
    <w:p w14:paraId="282A3584" w14:textId="77777777" w:rsidR="000B3D13" w:rsidRDefault="000B3D13" w:rsidP="000B3D13">
      <w:pPr>
        <w:rPr>
          <w:rFonts w:cstheme="minorHAnsi"/>
        </w:rPr>
      </w:pPr>
      <w:r w:rsidRPr="00D03D26">
        <w:rPr>
          <w:rFonts w:cstheme="minorHAnsi"/>
        </w:rPr>
        <w:lastRenderedPageBreak/>
        <w:t>Hagger, H., &amp; McIntyre, D. (2006). Learning teaching from teachers. Maidenhead:</w:t>
      </w:r>
      <w:r>
        <w:rPr>
          <w:rFonts w:cstheme="minorHAnsi"/>
        </w:rPr>
        <w:t xml:space="preserve"> </w:t>
      </w:r>
      <w:r w:rsidRPr="00D03D26">
        <w:rPr>
          <w:rFonts w:cstheme="minorHAnsi"/>
        </w:rPr>
        <w:t>Open University Press.</w:t>
      </w:r>
    </w:p>
    <w:p w14:paraId="7653DE12" w14:textId="77777777" w:rsidR="000B3D13" w:rsidRPr="000B3D13" w:rsidRDefault="000B3D13" w:rsidP="000B3D13">
      <w:pPr>
        <w:rPr>
          <w:rFonts w:cstheme="minorHAnsi"/>
        </w:rPr>
      </w:pPr>
      <w:r w:rsidRPr="000B3D13">
        <w:rPr>
          <w:rFonts w:cstheme="minorHAnsi"/>
          <w:bCs/>
        </w:rPr>
        <w:t>Hart, S., Dixon, A., Drummond, M.J. and McIntyre, D.</w:t>
      </w:r>
      <w:r w:rsidRPr="000B3D13">
        <w:rPr>
          <w:rFonts w:cstheme="minorHAnsi"/>
        </w:rPr>
        <w:t xml:space="preserve"> (2004) </w:t>
      </w:r>
      <w:r w:rsidRPr="000B3D13">
        <w:rPr>
          <w:rFonts w:cstheme="minorHAnsi"/>
          <w:i/>
          <w:iCs/>
        </w:rPr>
        <w:t>Learning without Limits.</w:t>
      </w:r>
      <w:r w:rsidRPr="000B3D13">
        <w:rPr>
          <w:rFonts w:cstheme="minorHAnsi"/>
        </w:rPr>
        <w:t xml:space="preserve"> Maidenhead: Open University Press</w:t>
      </w:r>
    </w:p>
    <w:p w14:paraId="0A7B3F92" w14:textId="77777777" w:rsidR="000B3D13" w:rsidRPr="00E643EA" w:rsidRDefault="000B3D13" w:rsidP="000B3D13">
      <w:pPr>
        <w:rPr>
          <w:rFonts w:cstheme="minorHAnsi"/>
          <w:lang w:val="en-US"/>
        </w:rPr>
      </w:pPr>
      <w:r w:rsidRPr="00E643EA">
        <w:rPr>
          <w:rFonts w:cstheme="minorHAnsi"/>
          <w:lang w:val="en-US"/>
        </w:rPr>
        <w:t xml:space="preserve">Ingvarson, L., Reid, K., Buckley, S., Kleinhenz, E., Masters, G., &amp; Rowley, G. (2014). </w:t>
      </w:r>
      <w:r w:rsidRPr="00E643EA">
        <w:rPr>
          <w:rFonts w:cstheme="minorHAnsi"/>
          <w:i/>
          <w:lang w:val="en-US"/>
        </w:rPr>
        <w:t>Best Practice Teacher Education Programs and Australia’s Own Programs</w:t>
      </w:r>
      <w:r w:rsidRPr="00E643EA">
        <w:rPr>
          <w:rFonts w:cstheme="minorHAnsi"/>
          <w:lang w:val="en-US"/>
        </w:rPr>
        <w:t xml:space="preserve">. </w:t>
      </w:r>
      <w:r>
        <w:rPr>
          <w:rFonts w:cstheme="minorHAnsi"/>
          <w:lang w:val="en-US"/>
        </w:rPr>
        <w:t xml:space="preserve">Available at: </w:t>
      </w:r>
      <w:hyperlink r:id="rId5" w:history="1">
        <w:r w:rsidRPr="00116E07">
          <w:rPr>
            <w:rStyle w:val="Hyperlink"/>
            <w:rFonts w:cstheme="minorHAnsi"/>
            <w:lang w:val="en-US"/>
          </w:rPr>
          <w:t>https://research.acer.edu.au/cgi/viewcontent.cgi?article=1014&amp;context=teacher_education</w:t>
        </w:r>
      </w:hyperlink>
      <w:r>
        <w:rPr>
          <w:rFonts w:cstheme="minorHAnsi"/>
          <w:lang w:val="en-US"/>
        </w:rPr>
        <w:t xml:space="preserve"> </w:t>
      </w:r>
    </w:p>
    <w:p w14:paraId="35426E3A" w14:textId="77777777" w:rsidR="000B3D13" w:rsidRPr="00F311DA" w:rsidRDefault="000B3D13" w:rsidP="000B3D13">
      <w:pPr>
        <w:rPr>
          <w:rFonts w:cstheme="minorHAnsi"/>
          <w:lang w:val="en-US"/>
        </w:rPr>
      </w:pPr>
      <w:r w:rsidRPr="00F311DA">
        <w:rPr>
          <w:rFonts w:cstheme="minorHAnsi"/>
          <w:lang w:val="de-DE"/>
        </w:rPr>
        <w:t xml:space="preserve">Korthagen, F., Loughran, J., &amp; Russell, T. (2006). </w:t>
      </w:r>
      <w:r w:rsidRPr="00F311DA">
        <w:rPr>
          <w:rFonts w:cstheme="minorHAnsi"/>
          <w:lang w:val="en-US"/>
        </w:rPr>
        <w:t xml:space="preserve">Developing fundamental principles for teacher education programs and practices. </w:t>
      </w:r>
      <w:r w:rsidRPr="00F311DA">
        <w:rPr>
          <w:rFonts w:cstheme="minorHAnsi"/>
          <w:i/>
          <w:lang w:val="en-US"/>
        </w:rPr>
        <w:t>Teaching and Teacher Education, 22</w:t>
      </w:r>
      <w:r w:rsidRPr="00F311DA">
        <w:rPr>
          <w:rFonts w:cstheme="minorHAnsi"/>
          <w:lang w:val="en-US"/>
        </w:rPr>
        <w:t xml:space="preserve">, 1020-1041. </w:t>
      </w:r>
    </w:p>
    <w:p w14:paraId="508B64A9" w14:textId="77777777" w:rsidR="000B3D13" w:rsidRDefault="000B3D13" w:rsidP="000B3D13">
      <w:pPr>
        <w:rPr>
          <w:rFonts w:cstheme="minorHAnsi"/>
        </w:rPr>
      </w:pPr>
      <w:r w:rsidRPr="00C17626">
        <w:rPr>
          <w:rFonts w:cstheme="minorHAnsi"/>
        </w:rPr>
        <w:t xml:space="preserve">Mills, C. (2013). Developing pedagogies in pre-service teachers to cater for diversity: Challenges and ways forward in initial teacher education. </w:t>
      </w:r>
      <w:r w:rsidRPr="00C17626">
        <w:rPr>
          <w:rFonts w:cstheme="minorHAnsi"/>
          <w:i/>
        </w:rPr>
        <w:t>International Journal of Pedagogies &amp; Learning, 8</w:t>
      </w:r>
      <w:r w:rsidRPr="00C17626">
        <w:rPr>
          <w:rFonts w:cstheme="minorHAnsi"/>
        </w:rPr>
        <w:t>(3), 219-228.</w:t>
      </w:r>
    </w:p>
    <w:p w14:paraId="0EA18D13" w14:textId="77777777" w:rsidR="000B3D13" w:rsidRDefault="000B3D13" w:rsidP="000B3D13">
      <w:pPr>
        <w:rPr>
          <w:rFonts w:cstheme="minorHAnsi"/>
        </w:rPr>
      </w:pPr>
      <w:r w:rsidRPr="00E403BD">
        <w:rPr>
          <w:rFonts w:cstheme="minorHAnsi"/>
        </w:rPr>
        <w:t xml:space="preserve">Rowland, T., &amp; Turner, F. (2007). Developing and using the ‘Knowledge Quartet’: A framework for the observation of mathematics teaching. </w:t>
      </w:r>
      <w:r w:rsidRPr="00E403BD">
        <w:rPr>
          <w:rFonts w:cstheme="minorHAnsi"/>
          <w:i/>
          <w:iCs/>
        </w:rPr>
        <w:t>The Mathematics Educator</w:t>
      </w:r>
      <w:r w:rsidRPr="00E403BD">
        <w:rPr>
          <w:rFonts w:cstheme="minorHAnsi"/>
        </w:rPr>
        <w:t xml:space="preserve">, </w:t>
      </w:r>
      <w:r w:rsidRPr="00E403BD">
        <w:rPr>
          <w:rFonts w:cstheme="minorHAnsi"/>
          <w:i/>
          <w:iCs/>
        </w:rPr>
        <w:t>10</w:t>
      </w:r>
      <w:r w:rsidRPr="00E403BD">
        <w:rPr>
          <w:rFonts w:cstheme="minorHAnsi"/>
        </w:rPr>
        <w:t>(1), 107-124.</w:t>
      </w:r>
    </w:p>
    <w:p w14:paraId="66ADD808" w14:textId="77777777" w:rsidR="000B3D13" w:rsidRPr="00E643EA" w:rsidRDefault="000B3D13" w:rsidP="000B3D13">
      <w:pPr>
        <w:rPr>
          <w:rFonts w:cstheme="minorHAnsi"/>
        </w:rPr>
      </w:pPr>
      <w:r w:rsidRPr="000B3D13">
        <w:rPr>
          <w:rFonts w:cstheme="minorHAnsi"/>
        </w:rPr>
        <w:t xml:space="preserve">Zeichner, K., Payne, K., &amp; Brayko, K. (2015). </w:t>
      </w:r>
      <w:r w:rsidRPr="00D03D26">
        <w:rPr>
          <w:rFonts w:cstheme="minorHAnsi"/>
        </w:rPr>
        <w:t xml:space="preserve">Democratizing teacher education. </w:t>
      </w:r>
      <w:r w:rsidRPr="00D03D26">
        <w:rPr>
          <w:rFonts w:cstheme="minorHAnsi"/>
          <w:i/>
        </w:rPr>
        <w:t>Journal of Teacher Education, 66</w:t>
      </w:r>
      <w:r w:rsidRPr="00D03D26">
        <w:rPr>
          <w:rFonts w:cstheme="minorHAnsi"/>
        </w:rPr>
        <w:t>, 122-135.</w:t>
      </w:r>
    </w:p>
    <w:p w14:paraId="7467BB70" w14:textId="77777777" w:rsidR="000B3D13" w:rsidRPr="0014540E" w:rsidRDefault="000B3D13" w:rsidP="0014540E">
      <w:pPr>
        <w:rPr>
          <w:rFonts w:cstheme="minorHAnsi"/>
        </w:rPr>
      </w:pPr>
    </w:p>
    <w:p w14:paraId="0E73FF59" w14:textId="12D2F55C" w:rsidR="0014540E" w:rsidRPr="0014540E" w:rsidRDefault="0014540E">
      <w:pPr>
        <w:rPr>
          <w:rFonts w:cstheme="minorHAnsi"/>
        </w:rPr>
      </w:pPr>
    </w:p>
    <w:p w14:paraId="421B84B7" w14:textId="77777777" w:rsidR="0014540E" w:rsidRPr="0014540E" w:rsidRDefault="0014540E">
      <w:pPr>
        <w:rPr>
          <w:rFonts w:cstheme="minorHAnsi"/>
        </w:rPr>
      </w:pPr>
    </w:p>
    <w:sectPr w:rsidR="0014540E" w:rsidRPr="00145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94A"/>
    <w:multiLevelType w:val="hybridMultilevel"/>
    <w:tmpl w:val="9A42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9056A"/>
    <w:multiLevelType w:val="hybridMultilevel"/>
    <w:tmpl w:val="2A7668C2"/>
    <w:lvl w:ilvl="0" w:tplc="E80C9B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77671"/>
    <w:multiLevelType w:val="hybridMultilevel"/>
    <w:tmpl w:val="3D18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87C81"/>
    <w:multiLevelType w:val="hybridMultilevel"/>
    <w:tmpl w:val="8140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C1E2C"/>
    <w:multiLevelType w:val="hybridMultilevel"/>
    <w:tmpl w:val="7268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BB0CA0"/>
    <w:multiLevelType w:val="multilevel"/>
    <w:tmpl w:val="F7DC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0E"/>
    <w:rsid w:val="00007B07"/>
    <w:rsid w:val="000B3D13"/>
    <w:rsid w:val="0014540E"/>
    <w:rsid w:val="0036277D"/>
    <w:rsid w:val="004561CF"/>
    <w:rsid w:val="004B7AAB"/>
    <w:rsid w:val="00732AE9"/>
    <w:rsid w:val="0073790F"/>
    <w:rsid w:val="009B0DA0"/>
    <w:rsid w:val="00C17626"/>
    <w:rsid w:val="00C90F95"/>
    <w:rsid w:val="00D03D26"/>
    <w:rsid w:val="00DC51E9"/>
    <w:rsid w:val="00E403BD"/>
    <w:rsid w:val="00E41BD4"/>
    <w:rsid w:val="00E643EA"/>
    <w:rsid w:val="00F06F13"/>
    <w:rsid w:val="00F311DA"/>
    <w:rsid w:val="00FD5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33E6"/>
  <w15:chartTrackingRefBased/>
  <w15:docId w15:val="{14F7C947-3202-4852-A159-CACB6960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4540E"/>
    <w:pPr>
      <w:spacing w:line="240" w:lineRule="auto"/>
    </w:pPr>
    <w:rPr>
      <w:sz w:val="20"/>
      <w:szCs w:val="20"/>
    </w:rPr>
  </w:style>
  <w:style w:type="character" w:customStyle="1" w:styleId="CommentTextChar">
    <w:name w:val="Comment Text Char"/>
    <w:basedOn w:val="DefaultParagraphFont"/>
    <w:link w:val="CommentText"/>
    <w:uiPriority w:val="99"/>
    <w:semiHidden/>
    <w:rsid w:val="0014540E"/>
    <w:rPr>
      <w:sz w:val="20"/>
      <w:szCs w:val="20"/>
    </w:rPr>
  </w:style>
  <w:style w:type="paragraph" w:styleId="ListParagraph">
    <w:name w:val="List Paragraph"/>
    <w:basedOn w:val="Normal"/>
    <w:uiPriority w:val="34"/>
    <w:qFormat/>
    <w:rsid w:val="0014540E"/>
    <w:pPr>
      <w:ind w:left="720"/>
      <w:contextualSpacing/>
    </w:pPr>
  </w:style>
  <w:style w:type="character" w:styleId="CommentReference">
    <w:name w:val="annotation reference"/>
    <w:basedOn w:val="DefaultParagraphFont"/>
    <w:uiPriority w:val="99"/>
    <w:semiHidden/>
    <w:unhideWhenUsed/>
    <w:rsid w:val="00DC51E9"/>
    <w:rPr>
      <w:sz w:val="16"/>
      <w:szCs w:val="16"/>
    </w:rPr>
  </w:style>
  <w:style w:type="paragraph" w:styleId="CommentSubject">
    <w:name w:val="annotation subject"/>
    <w:basedOn w:val="CommentText"/>
    <w:next w:val="CommentText"/>
    <w:link w:val="CommentSubjectChar"/>
    <w:uiPriority w:val="99"/>
    <w:semiHidden/>
    <w:unhideWhenUsed/>
    <w:rsid w:val="00DC51E9"/>
    <w:rPr>
      <w:b/>
      <w:bCs/>
    </w:rPr>
  </w:style>
  <w:style w:type="character" w:customStyle="1" w:styleId="CommentSubjectChar">
    <w:name w:val="Comment Subject Char"/>
    <w:basedOn w:val="CommentTextChar"/>
    <w:link w:val="CommentSubject"/>
    <w:uiPriority w:val="99"/>
    <w:semiHidden/>
    <w:rsid w:val="00DC51E9"/>
    <w:rPr>
      <w:b/>
      <w:bCs/>
      <w:sz w:val="20"/>
      <w:szCs w:val="20"/>
    </w:rPr>
  </w:style>
  <w:style w:type="paragraph" w:styleId="BalloonText">
    <w:name w:val="Balloon Text"/>
    <w:basedOn w:val="Normal"/>
    <w:link w:val="BalloonTextChar"/>
    <w:uiPriority w:val="99"/>
    <w:semiHidden/>
    <w:unhideWhenUsed/>
    <w:rsid w:val="00DC5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E9"/>
    <w:rPr>
      <w:rFonts w:ascii="Segoe UI" w:hAnsi="Segoe UI" w:cs="Segoe UI"/>
      <w:sz w:val="18"/>
      <w:szCs w:val="18"/>
    </w:rPr>
  </w:style>
  <w:style w:type="character" w:styleId="Hyperlink">
    <w:name w:val="Hyperlink"/>
    <w:basedOn w:val="DefaultParagraphFont"/>
    <w:uiPriority w:val="99"/>
    <w:unhideWhenUsed/>
    <w:rsid w:val="00E64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arch.acer.edu.au/cgi/viewcontent.cgi?article=1014&amp;context=teacher_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Moses</dc:creator>
  <cp:keywords/>
  <dc:description/>
  <cp:lastModifiedBy>Max Fincher</cp:lastModifiedBy>
  <cp:revision>2</cp:revision>
  <cp:lastPrinted>2019-09-03T11:42:00Z</cp:lastPrinted>
  <dcterms:created xsi:type="dcterms:W3CDTF">2019-09-03T11:45:00Z</dcterms:created>
  <dcterms:modified xsi:type="dcterms:W3CDTF">2019-09-03T11:45:00Z</dcterms:modified>
</cp:coreProperties>
</file>