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07FB" w14:textId="77777777" w:rsidR="007A0D47" w:rsidRDefault="00E74EA3">
      <w:pPr>
        <w:pStyle w:val="Heading1"/>
        <w:spacing w:before="0" w:after="0"/>
        <w:jc w:val="right"/>
        <w:rPr>
          <w:sz w:val="24"/>
          <w:szCs w:val="24"/>
        </w:rPr>
      </w:pPr>
      <w:bookmarkStart w:id="0" w:name="_pfs7pqj8toa3" w:colFirst="0" w:colLast="0"/>
      <w:bookmarkEnd w:id="0"/>
      <w:r>
        <w:rPr>
          <w:noProof/>
        </w:rPr>
        <w:drawing>
          <wp:inline distT="114300" distB="114300" distL="114300" distR="114300" wp14:anchorId="0C7A0830" wp14:editId="0C7A0831">
            <wp:extent cx="1351688" cy="8448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688" cy="844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7A07FC" w14:textId="77777777" w:rsidR="007A0D47" w:rsidRDefault="007A0D47">
      <w:pPr>
        <w:rPr>
          <w:b/>
          <w:sz w:val="24"/>
          <w:szCs w:val="24"/>
        </w:rPr>
      </w:pPr>
    </w:p>
    <w:p w14:paraId="0C7A07FD" w14:textId="77777777" w:rsidR="007A0D47" w:rsidRDefault="007A0D47">
      <w:pPr>
        <w:rPr>
          <w:b/>
          <w:sz w:val="24"/>
          <w:szCs w:val="24"/>
        </w:rPr>
      </w:pPr>
    </w:p>
    <w:p w14:paraId="0C7A07FE" w14:textId="77777777" w:rsidR="007A0D47" w:rsidRDefault="007A0D47">
      <w:pPr>
        <w:rPr>
          <w:b/>
          <w:color w:val="003A69"/>
          <w:sz w:val="24"/>
          <w:szCs w:val="24"/>
        </w:rPr>
      </w:pPr>
    </w:p>
    <w:p w14:paraId="0C7A07FF" w14:textId="77777777" w:rsidR="007A0D47" w:rsidRDefault="007A0D47">
      <w:pPr>
        <w:rPr>
          <w:b/>
          <w:color w:val="003A69"/>
          <w:sz w:val="24"/>
          <w:szCs w:val="24"/>
        </w:rPr>
      </w:pPr>
    </w:p>
    <w:p w14:paraId="0C7A0800" w14:textId="77777777" w:rsidR="007A0D47" w:rsidRDefault="007A0D47">
      <w:pPr>
        <w:pStyle w:val="Title"/>
        <w:spacing w:after="0" w:line="240" w:lineRule="auto"/>
      </w:pPr>
      <w:bookmarkStart w:id="1" w:name="_f5zn07bqd3pg" w:colFirst="0" w:colLast="0"/>
      <w:bookmarkEnd w:id="1"/>
    </w:p>
    <w:p w14:paraId="0C7A0801" w14:textId="77777777" w:rsidR="007A0D47" w:rsidRDefault="007A0D47">
      <w:pPr>
        <w:pStyle w:val="Title"/>
        <w:spacing w:after="0" w:line="240" w:lineRule="auto"/>
      </w:pPr>
      <w:bookmarkStart w:id="2" w:name="_cb8w8p463hkh" w:colFirst="0" w:colLast="0"/>
      <w:bookmarkEnd w:id="2"/>
    </w:p>
    <w:p w14:paraId="0C7A0802" w14:textId="77777777" w:rsidR="007A0D47" w:rsidRDefault="00E74EA3">
      <w:pPr>
        <w:pStyle w:val="Title"/>
        <w:spacing w:after="0" w:line="240" w:lineRule="auto"/>
      </w:pPr>
      <w:bookmarkStart w:id="3" w:name="_nd4le2cf9tl6" w:colFirst="0" w:colLast="0"/>
      <w:bookmarkEnd w:id="3"/>
      <w:r>
        <w:t>DfE is building a new digital application service for prospective trainee teachers</w:t>
      </w:r>
    </w:p>
    <w:p w14:paraId="0C7A0803" w14:textId="77777777" w:rsidR="007A0D47" w:rsidRDefault="00E74EA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C7A0804" w14:textId="7A8F8B7B" w:rsidR="007A0D47" w:rsidRDefault="00E74EA3">
      <w:pPr>
        <w:pStyle w:val="Subtitle"/>
        <w:spacing w:after="320" w:line="273" w:lineRule="auto"/>
      </w:pPr>
      <w:r>
        <w:t>Apply for postgraduate teacher training (‘</w:t>
      </w:r>
      <w:r w:rsidR="00802B41">
        <w:t xml:space="preserve">DfE </w:t>
      </w:r>
      <w:r>
        <w:t xml:space="preserve">Apply’, for short) will be DfE-owned and run. Over time it will replace the UCAS </w:t>
      </w:r>
      <w:r w:rsidR="00B17D5F">
        <w:t xml:space="preserve">Teacher Training (UTT) </w:t>
      </w:r>
      <w:r>
        <w:t>application service.</w:t>
      </w:r>
      <w:bookmarkStart w:id="4" w:name="_GoBack"/>
      <w:bookmarkEnd w:id="4"/>
    </w:p>
    <w:p w14:paraId="0C7A0805" w14:textId="4F0F158A" w:rsidR="007A0D47" w:rsidRDefault="000F4E5C">
      <w:pPr>
        <w:pStyle w:val="Subtitle"/>
        <w:spacing w:after="320" w:line="273" w:lineRule="auto"/>
        <w:rPr>
          <w:sz w:val="18"/>
          <w:szCs w:val="18"/>
        </w:rPr>
      </w:pPr>
      <w:bookmarkStart w:id="5" w:name="_t1x06b8wn0eu" w:colFirst="0" w:colLast="0"/>
      <w:bookmarkEnd w:id="5"/>
      <w:r w:rsidRPr="000F4E5C">
        <w:t>Like its sister service</w:t>
      </w:r>
      <w:r w:rsidR="00D30999">
        <w:t xml:space="preserve"> DfE</w:t>
      </w:r>
      <w:hyperlink r:id="rId9" w:history="1">
        <w:r w:rsidRPr="000F4E5C">
          <w:t xml:space="preserve"> Find</w:t>
        </w:r>
      </w:hyperlink>
      <w:r w:rsidRPr="000F4E5C">
        <w:t xml:space="preserve">, </w:t>
      </w:r>
      <w:r w:rsidR="00694459">
        <w:t xml:space="preserve">DfE </w:t>
      </w:r>
      <w:r w:rsidRPr="000F4E5C">
        <w:t xml:space="preserve">Apply will be an important part of </w:t>
      </w:r>
      <w:r w:rsidR="00D30999">
        <w:t xml:space="preserve">delivering </w:t>
      </w:r>
      <w:r w:rsidRPr="000F4E5C">
        <w:t>the</w:t>
      </w:r>
      <w:hyperlink r:id="rId10" w:history="1">
        <w:r w:rsidRPr="000F4E5C">
          <w:t xml:space="preserve"> </w:t>
        </w:r>
        <w:hyperlink r:id="rId11">
          <w:r>
            <w:rPr>
              <w:u w:val="single"/>
            </w:rPr>
            <w:t>Teacher recruitment and retention strategy</w:t>
          </w:r>
        </w:hyperlink>
      </w:hyperlink>
      <w:r w:rsidRPr="000F4E5C">
        <w:t>, encouraging candidates from a wider and more diverse pool of talent</w:t>
      </w:r>
      <w:r w:rsidR="00E74EA3">
        <w:t xml:space="preserve">. </w:t>
      </w:r>
    </w:p>
    <w:p w14:paraId="0C7A0806" w14:textId="77777777" w:rsidR="007A0D47" w:rsidRDefault="007A0D47">
      <w:pPr>
        <w:rPr>
          <w:color w:val="003A69"/>
          <w:sz w:val="18"/>
          <w:szCs w:val="18"/>
        </w:rPr>
      </w:pPr>
    </w:p>
    <w:tbl>
      <w:tblPr>
        <w:tblStyle w:val="a"/>
        <w:tblW w:w="10350" w:type="dxa"/>
        <w:tblLayout w:type="fixed"/>
        <w:tblLook w:val="0600" w:firstRow="0" w:lastRow="0" w:firstColumn="0" w:lastColumn="0" w:noHBand="1" w:noVBand="1"/>
      </w:tblPr>
      <w:tblGrid>
        <w:gridCol w:w="5175"/>
        <w:gridCol w:w="5175"/>
      </w:tblGrid>
      <w:tr w:rsidR="007A0D47" w14:paraId="0C7A080E" w14:textId="77777777">
        <w:tc>
          <w:tcPr>
            <w:tcW w:w="5175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07" w14:textId="77777777" w:rsidR="007A0D47" w:rsidRDefault="00E74EA3">
            <w:pPr>
              <w:pStyle w:val="Heading2"/>
            </w:pPr>
            <w:bookmarkStart w:id="6" w:name="_gwepfwjj2dhs" w:colFirst="0" w:colLast="0"/>
            <w:bookmarkEnd w:id="6"/>
            <w:r>
              <w:t>Benefits for providers</w:t>
            </w:r>
          </w:p>
          <w:p w14:paraId="0EC28DAB" w14:textId="720AFEEA" w:rsidR="00694459" w:rsidRPr="00694459" w:rsidRDefault="00694459">
            <w:pPr>
              <w:rPr>
                <w:color w:val="434343"/>
                <w:sz w:val="24"/>
                <w:szCs w:val="24"/>
              </w:rPr>
            </w:pPr>
            <w:r w:rsidRPr="00694459">
              <w:rPr>
                <w:color w:val="434343"/>
                <w:sz w:val="24"/>
                <w:szCs w:val="24"/>
              </w:rPr>
              <w:t>A smooth application journey, giving you the</w:t>
            </w:r>
            <w:r>
              <w:rPr>
                <w:color w:val="434343"/>
                <w:sz w:val="24"/>
                <w:szCs w:val="24"/>
              </w:rPr>
              <w:t xml:space="preserve"> </w:t>
            </w:r>
            <w:r w:rsidRPr="00694459">
              <w:rPr>
                <w:color w:val="434343"/>
                <w:sz w:val="24"/>
                <w:szCs w:val="24"/>
              </w:rPr>
              <w:t xml:space="preserve">information you need to make accurate and efficient decisions </w:t>
            </w:r>
          </w:p>
          <w:p w14:paraId="0C7A0809" w14:textId="6B253DD9" w:rsidR="007A0D47" w:rsidRDefault="00E74EA3">
            <w:pPr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A streamlined and user-friendly provider interface so you can manage applications, interviews and conditions.</w:t>
            </w:r>
          </w:p>
          <w:p w14:paraId="0C7A080A" w14:textId="77777777" w:rsidR="007A0D47" w:rsidRDefault="00E74EA3">
            <w:pPr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For providers using student record systems, integration with your existing software.</w:t>
            </w:r>
          </w:p>
        </w:tc>
        <w:tc>
          <w:tcPr>
            <w:tcW w:w="5175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0B" w14:textId="77777777" w:rsidR="007A0D47" w:rsidRDefault="00E74EA3">
            <w:pPr>
              <w:pStyle w:val="Heading2"/>
            </w:pPr>
            <w:bookmarkStart w:id="7" w:name="_dz37g8jlq5m" w:colFirst="0" w:colLast="0"/>
            <w:bookmarkEnd w:id="7"/>
            <w:r>
              <w:t>What do providers need to do?</w:t>
            </w:r>
          </w:p>
          <w:p w14:paraId="0C7A080C" w14:textId="77777777" w:rsidR="007A0D47" w:rsidRDefault="00E74EA3">
            <w:pPr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</w:rPr>
              <w:t>At the moment, you don’t need to do anything. DfE will update you regularly as we build and roll-out the service.</w:t>
            </w:r>
          </w:p>
          <w:p w14:paraId="0C7A080D" w14:textId="77777777" w:rsidR="007A0D47" w:rsidRDefault="00E74EA3">
            <w:pPr>
              <w:rPr>
                <w:sz w:val="18"/>
                <w:szCs w:val="18"/>
              </w:rPr>
            </w:pPr>
            <w:r>
              <w:rPr>
                <w:color w:val="434343"/>
                <w:sz w:val="24"/>
                <w:szCs w:val="24"/>
              </w:rPr>
              <w:t>If you have any questions, or would like to arrange a meeting with the team to talk about the new service in more detail, please contact</w:t>
            </w:r>
            <w:r>
              <w:rPr>
                <w:sz w:val="24"/>
                <w:szCs w:val="24"/>
              </w:rPr>
              <w:t xml:space="preserve">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sarah2.fisher@education.gov.uk</w:t>
              </w:r>
            </w:hyperlink>
          </w:p>
        </w:tc>
      </w:tr>
    </w:tbl>
    <w:p w14:paraId="0C7A080F" w14:textId="77777777" w:rsidR="007A0D47" w:rsidRDefault="00E74EA3">
      <w:r>
        <w:br w:type="page"/>
      </w:r>
    </w:p>
    <w:p w14:paraId="0C7A0810" w14:textId="77777777" w:rsidR="007A0D47" w:rsidRDefault="00E74EA3">
      <w:pPr>
        <w:pStyle w:val="Heading2"/>
      </w:pPr>
      <w:bookmarkStart w:id="8" w:name="_72h2tz1ludt8" w:colFirst="0" w:colLast="0"/>
      <w:bookmarkEnd w:id="8"/>
      <w:r>
        <w:lastRenderedPageBreak/>
        <w:t>Timeline</w:t>
      </w:r>
    </w:p>
    <w:tbl>
      <w:tblPr>
        <w:tblStyle w:val="a0"/>
        <w:tblW w:w="10200" w:type="dxa"/>
        <w:tblLayout w:type="fixed"/>
        <w:tblLook w:val="0600" w:firstRow="0" w:lastRow="0" w:firstColumn="0" w:lastColumn="0" w:noHBand="1" w:noVBand="1"/>
      </w:tblPr>
      <w:tblGrid>
        <w:gridCol w:w="3090"/>
        <w:gridCol w:w="7110"/>
      </w:tblGrid>
      <w:tr w:rsidR="007A0D47" w14:paraId="0C7A0816" w14:textId="77777777">
        <w:tc>
          <w:tcPr>
            <w:tcW w:w="3090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12" w14:textId="4BAA1CC3" w:rsidR="007A0D47" w:rsidRDefault="008F56CE">
            <w:pPr>
              <w:spacing w:after="0" w:line="240" w:lineRule="auto"/>
              <w:rPr>
                <w:color w:val="666666"/>
              </w:rPr>
            </w:pPr>
            <w:bookmarkStart w:id="9" w:name="_3vk29r5yzko5" w:colFirst="0" w:colLast="0"/>
            <w:bookmarkEnd w:id="9"/>
            <w:r>
              <w:t xml:space="preserve">Ongoing </w:t>
            </w:r>
            <w:r w:rsidR="00E74EA3">
              <w:rPr>
                <w:color w:val="666666"/>
              </w:rPr>
              <w:t>Test and build</w:t>
            </w:r>
          </w:p>
        </w:tc>
        <w:tc>
          <w:tcPr>
            <w:tcW w:w="7110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13" w14:textId="77777777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DfE is running a ‘concierged’ end-to-end test of the service with the help of real candidates and providers.</w:t>
            </w:r>
          </w:p>
          <w:p w14:paraId="0C7A0814" w14:textId="77777777" w:rsidR="007A0D47" w:rsidRDefault="00E74EA3">
            <w:pPr>
              <w:spacing w:line="240" w:lineRule="auto"/>
            </w:pPr>
            <w:r>
              <w:rPr>
                <w:color w:val="434343"/>
              </w:rPr>
              <w:t>The test will use manual and low-fi tools to take candidates from submission to enrolment. In this way, we’ll learn about provider processes and needs.</w:t>
            </w:r>
          </w:p>
          <w:p w14:paraId="0C7A0815" w14:textId="77777777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Concurrently, DfE is building a digital service which we’ll continue to test with providers and candidates, building their feedback into our designs.</w:t>
            </w:r>
          </w:p>
        </w:tc>
      </w:tr>
      <w:tr w:rsidR="007A0D47" w14:paraId="0C7A081C" w14:textId="77777777">
        <w:tc>
          <w:tcPr>
            <w:tcW w:w="3090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17" w14:textId="0B603D53" w:rsidR="007A0D47" w:rsidRDefault="000C3CC9">
            <w:pPr>
              <w:pStyle w:val="Heading3"/>
              <w:widowControl w:val="0"/>
              <w:spacing w:after="0"/>
            </w:pPr>
            <w:bookmarkStart w:id="10" w:name="_gz6nwtrmj1fh" w:colFirst="0" w:colLast="0"/>
            <w:bookmarkEnd w:id="10"/>
            <w:r>
              <w:t xml:space="preserve">From </w:t>
            </w:r>
            <w:r w:rsidR="00E74EA3">
              <w:t>November 2019</w:t>
            </w:r>
          </w:p>
          <w:p w14:paraId="0C7A0818" w14:textId="77777777" w:rsidR="007A0D47" w:rsidRDefault="00E74EA3">
            <w:pPr>
              <w:spacing w:after="0" w:line="240" w:lineRule="auto"/>
            </w:pPr>
            <w:r>
              <w:rPr>
                <w:color w:val="666666"/>
              </w:rPr>
              <w:t>Pilot</w:t>
            </w:r>
            <w:r>
              <w:t xml:space="preserve"> </w:t>
            </w:r>
          </w:p>
        </w:tc>
        <w:tc>
          <w:tcPr>
            <w:tcW w:w="7110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19" w14:textId="581E4FE9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DfE will pilot </w:t>
            </w:r>
            <w:r w:rsidR="00C67D18">
              <w:rPr>
                <w:color w:val="434343"/>
              </w:rPr>
              <w:t>its</w:t>
            </w:r>
            <w:r>
              <w:rPr>
                <w:color w:val="434343"/>
              </w:rPr>
              <w:t xml:space="preserve"> live digital service with a small number of providers</w:t>
            </w:r>
            <w:r w:rsidR="00A325D3">
              <w:rPr>
                <w:color w:val="434343"/>
              </w:rPr>
              <w:t xml:space="preserve"> who have opted in</w:t>
            </w:r>
            <w:r>
              <w:rPr>
                <w:color w:val="434343"/>
              </w:rPr>
              <w:t>.</w:t>
            </w:r>
          </w:p>
          <w:p w14:paraId="0C7A081A" w14:textId="041E62CB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Th</w:t>
            </w:r>
            <w:r w:rsidR="00A325D3">
              <w:rPr>
                <w:color w:val="434343"/>
              </w:rPr>
              <w:t>is</w:t>
            </w:r>
            <w:r>
              <w:rPr>
                <w:color w:val="434343"/>
              </w:rPr>
              <w:t xml:space="preserve"> live service will take real candidates through the application process, enrolling them on to courses run by our opted-in providers.</w:t>
            </w:r>
          </w:p>
          <w:p w14:paraId="0C7A081B" w14:textId="567678C3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We’ll continue to seek your feedback throughout our pilot, to ensure we address </w:t>
            </w:r>
            <w:r w:rsidR="00694459">
              <w:rPr>
                <w:color w:val="434343"/>
              </w:rPr>
              <w:t>any</w:t>
            </w:r>
            <w:r>
              <w:rPr>
                <w:color w:val="434343"/>
              </w:rPr>
              <w:t xml:space="preserve"> concerns.</w:t>
            </w:r>
          </w:p>
        </w:tc>
      </w:tr>
      <w:tr w:rsidR="007A0D47" w14:paraId="0C7A0821" w14:textId="77777777">
        <w:tc>
          <w:tcPr>
            <w:tcW w:w="3090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1D" w14:textId="77777777" w:rsidR="007A0D47" w:rsidRDefault="00E74EA3">
            <w:pPr>
              <w:pStyle w:val="Heading3"/>
              <w:spacing w:after="0"/>
            </w:pPr>
            <w:bookmarkStart w:id="11" w:name="_wczwmu4z6oqu" w:colFirst="0" w:colLast="0"/>
            <w:bookmarkEnd w:id="11"/>
            <w:r>
              <w:t>2020</w:t>
            </w:r>
          </w:p>
          <w:p w14:paraId="0C7A081E" w14:textId="230BB9E6" w:rsidR="007A0D47" w:rsidRDefault="00E74EA3">
            <w:pPr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Rollout</w:t>
            </w:r>
          </w:p>
        </w:tc>
        <w:tc>
          <w:tcPr>
            <w:tcW w:w="7110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1F" w14:textId="1DEC8D24" w:rsidR="007A0D47" w:rsidRDefault="00A325D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The DfE Apply service will start to r</w:t>
            </w:r>
            <w:r w:rsidR="00E74EA3">
              <w:rPr>
                <w:color w:val="434343"/>
              </w:rPr>
              <w:t xml:space="preserve">ollout across the provider </w:t>
            </w:r>
            <w:r w:rsidR="00694459">
              <w:rPr>
                <w:color w:val="434343"/>
              </w:rPr>
              <w:t xml:space="preserve">market. This rollout </w:t>
            </w:r>
            <w:r>
              <w:rPr>
                <w:color w:val="434343"/>
              </w:rPr>
              <w:t>will</w:t>
            </w:r>
            <w:r w:rsidR="00694459">
              <w:rPr>
                <w:color w:val="434343"/>
              </w:rPr>
              <w:t xml:space="preserve"> </w:t>
            </w:r>
            <w:r w:rsidR="00E74EA3">
              <w:rPr>
                <w:color w:val="434343"/>
              </w:rPr>
              <w:t>be designed to minimise provider and candidate inconvenience.</w:t>
            </w:r>
          </w:p>
          <w:p w14:paraId="0C7A0820" w14:textId="3CD8FCF1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Segment</w:t>
            </w:r>
            <w:r w:rsidR="00802B41">
              <w:rPr>
                <w:color w:val="434343"/>
              </w:rPr>
              <w:t>ing this rollout</w:t>
            </w:r>
            <w:r>
              <w:rPr>
                <w:color w:val="434343"/>
              </w:rPr>
              <w:t xml:space="preserve"> by location, subject, route and year of entry are under consideration – we’ll consult with you and share our plans as they develop.</w:t>
            </w:r>
          </w:p>
        </w:tc>
      </w:tr>
      <w:tr w:rsidR="007A0D47" w14:paraId="0C7A0825" w14:textId="77777777">
        <w:tc>
          <w:tcPr>
            <w:tcW w:w="3090" w:type="dxa"/>
            <w:tcBorders>
              <w:top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22" w14:textId="6F6EC4D7" w:rsidR="007A0D47" w:rsidRDefault="00E74EA3">
            <w:pPr>
              <w:pStyle w:val="Heading3"/>
              <w:spacing w:after="0"/>
            </w:pPr>
            <w:bookmarkStart w:id="12" w:name="_w1smsdkslzum" w:colFirst="0" w:colLast="0"/>
            <w:bookmarkEnd w:id="12"/>
            <w:r>
              <w:t>2020/2021</w:t>
            </w:r>
            <w:r w:rsidR="00802B41">
              <w:t xml:space="preserve"> and beyond</w:t>
            </w:r>
          </w:p>
        </w:tc>
        <w:tc>
          <w:tcPr>
            <w:tcW w:w="7110" w:type="dxa"/>
            <w:tcBorders>
              <w:top w:val="single" w:sz="4" w:space="0" w:color="666666"/>
            </w:tcBorders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</w:tcPr>
          <w:p w14:paraId="0C7A0823" w14:textId="6B6C78E6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Ongoing research, design iteration and gradual rollout to avoid the risks of a single, very large product release. </w:t>
            </w:r>
          </w:p>
          <w:p w14:paraId="0C7A0824" w14:textId="0F21E99C" w:rsidR="007A0D47" w:rsidRDefault="00E74EA3">
            <w:pP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Ever increasing numbers of providers are brought into the service, with a view at the appropriate time</w:t>
            </w:r>
            <w:r>
              <w:rPr>
                <w:b/>
                <w:color w:val="434343"/>
              </w:rPr>
              <w:t xml:space="preserve"> </w:t>
            </w:r>
            <w:r>
              <w:rPr>
                <w:color w:val="434343"/>
              </w:rPr>
              <w:t xml:space="preserve">for </w:t>
            </w:r>
            <w:r w:rsidR="00F71870">
              <w:rPr>
                <w:color w:val="434343"/>
              </w:rPr>
              <w:t xml:space="preserve">DfE </w:t>
            </w:r>
            <w:r>
              <w:rPr>
                <w:color w:val="434343"/>
              </w:rPr>
              <w:t>Apply to cover the entire provider market.</w:t>
            </w:r>
          </w:p>
        </w:tc>
      </w:tr>
    </w:tbl>
    <w:p w14:paraId="0C7A0826" w14:textId="77777777" w:rsidR="007A0D47" w:rsidRDefault="007A0D47">
      <w:pPr>
        <w:pStyle w:val="Heading2"/>
        <w:spacing w:before="200"/>
      </w:pPr>
      <w:bookmarkStart w:id="13" w:name="_m0k4pmhccb4x" w:colFirst="0" w:colLast="0"/>
      <w:bookmarkEnd w:id="13"/>
    </w:p>
    <w:p w14:paraId="0C7A082C" w14:textId="7104A1AE" w:rsidR="007A0D47" w:rsidRDefault="00E74EA3" w:rsidP="0006784F">
      <w:pPr>
        <w:spacing w:after="0"/>
        <w:rPr>
          <w:color w:val="434343"/>
        </w:rPr>
      </w:pPr>
      <w:bookmarkStart w:id="14" w:name="_3gi3buc2vq75" w:colFirst="0" w:colLast="0"/>
      <w:bookmarkEnd w:id="14"/>
      <w:r>
        <w:rPr>
          <w:color w:val="434343"/>
        </w:rPr>
        <w:t xml:space="preserve">For the next few cycles, </w:t>
      </w:r>
      <w:r w:rsidR="00395CAD">
        <w:rPr>
          <w:color w:val="434343"/>
        </w:rPr>
        <w:t xml:space="preserve">DfE </w:t>
      </w:r>
      <w:r>
        <w:rPr>
          <w:color w:val="434343"/>
        </w:rPr>
        <w:t xml:space="preserve">Apply and </w:t>
      </w:r>
      <w:r w:rsidR="00B84FD2">
        <w:rPr>
          <w:color w:val="434343"/>
        </w:rPr>
        <w:t>UTT</w:t>
      </w:r>
      <w:r w:rsidR="00FA2C1D">
        <w:rPr>
          <w:color w:val="434343"/>
        </w:rPr>
        <w:t xml:space="preserve"> will run in parallel</w:t>
      </w:r>
      <w:r>
        <w:rPr>
          <w:color w:val="434343"/>
        </w:rPr>
        <w:t xml:space="preserve">. </w:t>
      </w:r>
      <w:r w:rsidR="0006784F">
        <w:rPr>
          <w:color w:val="434343"/>
        </w:rPr>
        <w:t>O</w:t>
      </w:r>
      <w:r>
        <w:rPr>
          <w:color w:val="434343"/>
        </w:rPr>
        <w:t>ur plans for roll-out will aim to minimise the number of candidates having to use both services</w:t>
      </w:r>
      <w:r w:rsidR="0006784F">
        <w:rPr>
          <w:color w:val="434343"/>
        </w:rPr>
        <w:t xml:space="preserve">. We will gradually increase the </w:t>
      </w:r>
      <w:r>
        <w:rPr>
          <w:color w:val="434343"/>
        </w:rPr>
        <w:t xml:space="preserve">numbers of courses available through </w:t>
      </w:r>
      <w:r w:rsidR="00694459">
        <w:rPr>
          <w:color w:val="434343"/>
        </w:rPr>
        <w:t xml:space="preserve">DfE </w:t>
      </w:r>
      <w:r>
        <w:rPr>
          <w:color w:val="434343"/>
        </w:rPr>
        <w:t>Apply as the transition progresses, until eventually all providers have been onboarded</w:t>
      </w:r>
      <w:r w:rsidR="0006784F">
        <w:rPr>
          <w:color w:val="434343"/>
        </w:rPr>
        <w:t>.</w:t>
      </w:r>
    </w:p>
    <w:p w14:paraId="59BB7450" w14:textId="77777777" w:rsidR="0006784F" w:rsidRDefault="0006784F" w:rsidP="0006784F">
      <w:pPr>
        <w:spacing w:after="0"/>
        <w:rPr>
          <w:color w:val="434343"/>
        </w:rPr>
      </w:pPr>
    </w:p>
    <w:p w14:paraId="0C7A082D" w14:textId="16FD7733" w:rsidR="007A0D47" w:rsidRDefault="00E74EA3">
      <w:pPr>
        <w:spacing w:after="80"/>
        <w:rPr>
          <w:color w:val="434343"/>
        </w:rPr>
      </w:pPr>
      <w:r>
        <w:rPr>
          <w:color w:val="434343"/>
        </w:rPr>
        <w:t>DfE will work with UCAS to provide clear guidance</w:t>
      </w:r>
      <w:r>
        <w:rPr>
          <w:b/>
          <w:color w:val="434343"/>
        </w:rPr>
        <w:t xml:space="preserve"> </w:t>
      </w:r>
      <w:r>
        <w:rPr>
          <w:color w:val="434343"/>
        </w:rPr>
        <w:t xml:space="preserve">and support for both candidates and providers to ensure the transition runs smoothly. </w:t>
      </w:r>
      <w:r w:rsidR="00F259CB">
        <w:rPr>
          <w:color w:val="434343"/>
        </w:rPr>
        <w:t xml:space="preserve">We </w:t>
      </w:r>
      <w:r>
        <w:rPr>
          <w:color w:val="434343"/>
        </w:rPr>
        <w:t xml:space="preserve">will work with </w:t>
      </w:r>
      <w:r w:rsidR="00F259CB">
        <w:rPr>
          <w:color w:val="434343"/>
        </w:rPr>
        <w:t xml:space="preserve">you </w:t>
      </w:r>
      <w:r>
        <w:rPr>
          <w:color w:val="434343"/>
        </w:rPr>
        <w:t xml:space="preserve">to get </w:t>
      </w:r>
      <w:r w:rsidR="00160DEE">
        <w:rPr>
          <w:color w:val="434343"/>
        </w:rPr>
        <w:t>your</w:t>
      </w:r>
      <w:r>
        <w:rPr>
          <w:color w:val="434343"/>
        </w:rPr>
        <w:t xml:space="preserve"> feedback on our proposed changes and the timeframes for implementing them.</w:t>
      </w:r>
    </w:p>
    <w:p w14:paraId="0C7A082E" w14:textId="77777777" w:rsidR="007A0D47" w:rsidRDefault="00E74EA3">
      <w:pPr>
        <w:pStyle w:val="Heading2"/>
        <w:spacing w:before="200"/>
      </w:pPr>
      <w:r>
        <w:br/>
        <w:t>Thank you for your ongoing cooperation and support!</w:t>
      </w:r>
    </w:p>
    <w:p w14:paraId="0C7A082F" w14:textId="7146C57E" w:rsidR="007A0D47" w:rsidRDefault="00E74EA3">
      <w:pPr>
        <w:pStyle w:val="Heading2"/>
      </w:pPr>
      <w:bookmarkStart w:id="15" w:name="_pdhe5zgoepri" w:colFirst="0" w:colLast="0"/>
      <w:bookmarkEnd w:id="15"/>
      <w:r>
        <w:t xml:space="preserve">The </w:t>
      </w:r>
      <w:r w:rsidR="00A325D3">
        <w:t xml:space="preserve">DfE </w:t>
      </w:r>
      <w:r>
        <w:t>Apply team</w:t>
      </w:r>
    </w:p>
    <w:sectPr w:rsidR="007A0D47"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boto Medium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1F0387"/>
    <w:multiLevelType w:val="hybridMultilevel"/>
    <w:tmpl w:val="015A2F64"/>
    <w:lvl w:ilvl="0" w:tplc="F99EB3D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E4D50"/>
    <w:multiLevelType w:val="hybridMultilevel"/>
    <w:tmpl w:val="BDDE9576"/>
    <w:lvl w:ilvl="0" w:tplc="BEE02C24">
      <w:start w:val="10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3B89"/>
    <w:multiLevelType w:val="multilevel"/>
    <w:tmpl w:val="B29EE2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9013BA"/>
    <w:multiLevelType w:val="multilevel"/>
    <w:tmpl w:val="D0866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DC707DC"/>
    <w:multiLevelType w:val="hybridMultilevel"/>
    <w:tmpl w:val="DF1A9E04"/>
    <w:lvl w:ilvl="0" w:tplc="B5087BEE">
      <w:start w:val="10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47"/>
    <w:rsid w:val="000625C0"/>
    <w:rsid w:val="0006784F"/>
    <w:rsid w:val="000C3CC9"/>
    <w:rsid w:val="000F4E5C"/>
    <w:rsid w:val="00160DEE"/>
    <w:rsid w:val="001D15F2"/>
    <w:rsid w:val="00385CE9"/>
    <w:rsid w:val="00395CAD"/>
    <w:rsid w:val="003F0D5C"/>
    <w:rsid w:val="00427799"/>
    <w:rsid w:val="005207B3"/>
    <w:rsid w:val="005E268B"/>
    <w:rsid w:val="006614B9"/>
    <w:rsid w:val="00694459"/>
    <w:rsid w:val="007A0D47"/>
    <w:rsid w:val="00800A05"/>
    <w:rsid w:val="00802B41"/>
    <w:rsid w:val="00822FDA"/>
    <w:rsid w:val="008F56CE"/>
    <w:rsid w:val="009126B7"/>
    <w:rsid w:val="00A325D3"/>
    <w:rsid w:val="00A934E1"/>
    <w:rsid w:val="00B17D5F"/>
    <w:rsid w:val="00B354A8"/>
    <w:rsid w:val="00B84FD2"/>
    <w:rsid w:val="00C044BC"/>
    <w:rsid w:val="00C24596"/>
    <w:rsid w:val="00C67D18"/>
    <w:rsid w:val="00D30999"/>
    <w:rsid w:val="00E457E1"/>
    <w:rsid w:val="00E63D53"/>
    <w:rsid w:val="00E74EA3"/>
    <w:rsid w:val="00EC5FD4"/>
    <w:rsid w:val="00F259CB"/>
    <w:rsid w:val="00F71870"/>
    <w:rsid w:val="00FA2C1D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07FB"/>
  <w15:docId w15:val="{9C05D068-C1FE-4D71-9E0A-EE97669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40" w:line="249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200" w:line="240" w:lineRule="auto"/>
      <w:outlineLvl w:val="1"/>
    </w:pPr>
    <w:rPr>
      <w:rFonts w:ascii="Roboto Medium" w:eastAsia="Roboto Medium" w:hAnsi="Roboto Medium" w:cs="Roboto Medium"/>
      <w:color w:val="005EA5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80"/>
      <w:outlineLvl w:val="2"/>
    </w:pPr>
    <w:rPr>
      <w:rFonts w:ascii="Roboto Medium" w:eastAsia="Roboto Medium" w:hAnsi="Roboto Medium" w:cs="Roboto Medium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rFonts w:ascii="Roboto Medium" w:eastAsia="Roboto Medium" w:hAnsi="Roboto Medium" w:cs="Roboto Medium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480"/>
    </w:pPr>
    <w:rPr>
      <w:color w:val="66666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fESOutNumbered">
    <w:name w:val="DfESOutNumbered"/>
    <w:basedOn w:val="Normal"/>
    <w:link w:val="DfESOutNumberedChar"/>
    <w:rsid w:val="00E74EA3"/>
    <w:pPr>
      <w:widowControl w:val="0"/>
      <w:numPr>
        <w:numId w:val="3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Times New Roman" w:hAnsi="Arial" w:cs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74EA3"/>
    <w:rPr>
      <w:b/>
      <w:sz w:val="36"/>
      <w:szCs w:val="36"/>
    </w:rPr>
  </w:style>
  <w:style w:type="character" w:customStyle="1" w:styleId="DfESOutNumberedChar">
    <w:name w:val="DfESOutNumbered Char"/>
    <w:basedOn w:val="Heading1Char"/>
    <w:link w:val="DfESOutNumbered"/>
    <w:rsid w:val="00E74EA3"/>
    <w:rPr>
      <w:rFonts w:ascii="Arial" w:eastAsia="Times New Roman" w:hAnsi="Arial" w:cs="Arial"/>
      <w:b w:val="0"/>
      <w:sz w:val="22"/>
      <w:szCs w:val="36"/>
      <w:lang w:val="en-GB" w:eastAsia="en-US"/>
    </w:rPr>
  </w:style>
  <w:style w:type="paragraph" w:customStyle="1" w:styleId="DeptBullets">
    <w:name w:val="DeptBullets"/>
    <w:basedOn w:val="Normal"/>
    <w:link w:val="DeptBulletsChar"/>
    <w:rsid w:val="00E74EA3"/>
    <w:pPr>
      <w:widowControl w:val="0"/>
      <w:numPr>
        <w:numId w:val="5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lang w:eastAsia="en-US"/>
    </w:rPr>
  </w:style>
  <w:style w:type="character" w:customStyle="1" w:styleId="DeptBulletsChar">
    <w:name w:val="DeptBullets Char"/>
    <w:basedOn w:val="Heading1Char"/>
    <w:link w:val="DeptBullets"/>
    <w:rsid w:val="00E74EA3"/>
    <w:rPr>
      <w:rFonts w:ascii="Arial" w:eastAsia="Times New Roman" w:hAnsi="Arial" w:cs="Times New Roman"/>
      <w:b w:val="0"/>
      <w:sz w:val="24"/>
      <w:szCs w:val="36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0F4E5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5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5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5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2.fisher@educati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eacher-recruitment-and-retention-strateg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teacher-recruitment-and-retention-strateg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find-postgraduate-teacher-training-courses-in-engla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C9F963A8B94BB96CA939A2E55BB0" ma:contentTypeVersion="10" ma:contentTypeDescription="Create a new document." ma:contentTypeScope="" ma:versionID="a4c657b938adc1800532490e1b65e997">
  <xsd:schema xmlns:xsd="http://www.w3.org/2001/XMLSchema" xmlns:xs="http://www.w3.org/2001/XMLSchema" xmlns:p="http://schemas.microsoft.com/office/2006/metadata/properties" xmlns:ns3="64795835-8ec6-4b8c-ac33-b5e8ade32e2a" xmlns:ns4="37cbd8c2-6d98-475b-9f4c-0fd1233c63be" targetNamespace="http://schemas.microsoft.com/office/2006/metadata/properties" ma:root="true" ma:fieldsID="7d02d264108ab3c8d8874c81d4d04dab" ns3:_="" ns4:_="">
    <xsd:import namespace="64795835-8ec6-4b8c-ac33-b5e8ade32e2a"/>
    <xsd:import namespace="37cbd8c2-6d98-475b-9f4c-0fd1233c6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5835-8ec6-4b8c-ac33-b5e8ade32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d8c2-6d98-475b-9f4c-0fd1233c6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A3FBD-8AE1-44E5-86CC-752AC27AF4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4795835-8ec6-4b8c-ac33-b5e8ade32e2a"/>
    <ds:schemaRef ds:uri="http://schemas.microsoft.com/office/2006/documentManagement/types"/>
    <ds:schemaRef ds:uri="37cbd8c2-6d98-475b-9f4c-0fd1233c63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CB3404-6337-4B45-B6A5-734290704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25EEA-711E-4A12-9B36-5C4EAE6E3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95835-8ec6-4b8c-ac33-b5e8ade32e2a"/>
    <ds:schemaRef ds:uri="37cbd8c2-6d98-475b-9f4c-0fd1233c6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Chris3</dc:creator>
  <cp:lastModifiedBy>Max Fincher</cp:lastModifiedBy>
  <cp:revision>2</cp:revision>
  <dcterms:created xsi:type="dcterms:W3CDTF">2019-09-03T11:56:00Z</dcterms:created>
  <dcterms:modified xsi:type="dcterms:W3CDTF">2019-09-03T11:56:00Z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0x010100177AC9F963A8B94BB96CA939A2E55BB0</vt:lpwstr>
  </property>
</Properties>
</file>