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95" w:rsidRPr="009E2495" w:rsidRDefault="007D6686" w:rsidP="009E2495">
      <w:pPr>
        <w:jc w:val="center"/>
      </w:pPr>
      <w:bookmarkStart w:id="0" w:name="_GoBack"/>
      <w:bookmarkEnd w:id="0"/>
      <w:r w:rsidRPr="007D6686">
        <w:rPr>
          <w:rFonts w:ascii="Calibri" w:eastAsia="Calibri" w:hAnsi="Calibri" w:cs="Times New Roman"/>
          <w:b/>
          <w:noProof/>
          <w:lang w:eastAsia="en-GB"/>
        </w:rPr>
        <w:drawing>
          <wp:inline distT="0" distB="0" distL="0" distR="0" wp14:anchorId="500CD508" wp14:editId="175584E7">
            <wp:extent cx="3258340" cy="229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ET_monochrome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958" cy="2312869"/>
                    </a:xfrm>
                    <a:prstGeom prst="rect">
                      <a:avLst/>
                    </a:prstGeom>
                  </pic:spPr>
                </pic:pic>
              </a:graphicData>
            </a:graphic>
          </wp:inline>
        </w:drawing>
      </w:r>
    </w:p>
    <w:p w:rsidR="009E2495" w:rsidRPr="007139E7" w:rsidRDefault="009E2495" w:rsidP="009E2495">
      <w:pPr>
        <w:jc w:val="right"/>
        <w:rPr>
          <w:rFonts w:ascii="Calibri" w:eastAsia="Calibri" w:hAnsi="Calibri" w:cs="Times New Roman"/>
          <w:sz w:val="24"/>
          <w:szCs w:val="24"/>
        </w:rPr>
      </w:pPr>
      <w:r w:rsidRPr="007139E7">
        <w:rPr>
          <w:rFonts w:ascii="Calibri" w:eastAsia="Calibri" w:hAnsi="Calibri" w:cs="Times New Roman"/>
          <w:sz w:val="24"/>
          <w:szCs w:val="24"/>
        </w:rPr>
        <w:t>11</w:t>
      </w:r>
      <w:r w:rsidRPr="007139E7">
        <w:rPr>
          <w:rFonts w:ascii="Calibri" w:eastAsia="Calibri" w:hAnsi="Calibri" w:cs="Times New Roman"/>
          <w:sz w:val="24"/>
          <w:szCs w:val="24"/>
          <w:vertAlign w:val="superscript"/>
        </w:rPr>
        <w:t>th</w:t>
      </w:r>
      <w:r w:rsidRPr="007139E7">
        <w:rPr>
          <w:rFonts w:ascii="Calibri" w:eastAsia="Calibri" w:hAnsi="Calibri" w:cs="Times New Roman"/>
          <w:sz w:val="24"/>
          <w:szCs w:val="24"/>
        </w:rPr>
        <w:t xml:space="preserve"> February 2019</w:t>
      </w:r>
    </w:p>
    <w:p w:rsidR="007D6686" w:rsidRDefault="007D6686" w:rsidP="00D7716B">
      <w:pPr>
        <w:jc w:val="center"/>
        <w:rPr>
          <w:rFonts w:ascii="Calibri" w:eastAsia="Calibri" w:hAnsi="Calibri" w:cs="Times New Roman"/>
          <w:b/>
          <w:sz w:val="28"/>
          <w:szCs w:val="28"/>
          <w:u w:val="single"/>
        </w:rPr>
      </w:pPr>
      <w:r w:rsidRPr="00D7716B">
        <w:rPr>
          <w:rFonts w:ascii="Calibri" w:eastAsia="Calibri" w:hAnsi="Calibri" w:cs="Times New Roman"/>
          <w:b/>
          <w:sz w:val="28"/>
          <w:szCs w:val="28"/>
          <w:u w:val="single"/>
        </w:rPr>
        <w:t>PARTNERSHIP WORKING</w:t>
      </w:r>
    </w:p>
    <w:p w:rsidR="007D6686" w:rsidRDefault="007D6686" w:rsidP="007D6686">
      <w:pPr>
        <w:rPr>
          <w:rFonts w:ascii="Calibri" w:eastAsia="Calibri" w:hAnsi="Calibri" w:cs="Times New Roman"/>
          <w:b/>
          <w:sz w:val="24"/>
          <w:szCs w:val="24"/>
        </w:rPr>
      </w:pPr>
      <w:r>
        <w:rPr>
          <w:rFonts w:ascii="Calibri" w:eastAsia="Calibri" w:hAnsi="Calibri" w:cs="Times New Roman"/>
          <w:b/>
          <w:sz w:val="24"/>
          <w:szCs w:val="24"/>
        </w:rPr>
        <w:t>Given the emphasis that is now placed on partnership working across various facets of Education, it is now timely that USCET Cymru considers w</w:t>
      </w:r>
      <w:r w:rsidR="00732C2D">
        <w:rPr>
          <w:rFonts w:ascii="Calibri" w:eastAsia="Calibri" w:hAnsi="Calibri" w:cs="Times New Roman"/>
          <w:b/>
          <w:sz w:val="24"/>
          <w:szCs w:val="24"/>
        </w:rPr>
        <w:t xml:space="preserve">hat </w:t>
      </w:r>
      <w:r>
        <w:rPr>
          <w:rFonts w:ascii="Calibri" w:eastAsia="Calibri" w:hAnsi="Calibri" w:cs="Times New Roman"/>
          <w:b/>
          <w:sz w:val="24"/>
          <w:szCs w:val="24"/>
        </w:rPr>
        <w:t>partnership working means to this representative body. It is important that USCET takes a lead on this in order that it plays a central and integral role in informing national initiatives in Education in Wales.</w:t>
      </w:r>
    </w:p>
    <w:p w:rsidR="00732C2D" w:rsidRDefault="00D7716B">
      <w:pPr>
        <w:rPr>
          <w:rFonts w:ascii="Calibri" w:eastAsia="Calibri" w:hAnsi="Calibri" w:cs="Times New Roman"/>
          <w:b/>
          <w:sz w:val="24"/>
          <w:szCs w:val="24"/>
        </w:rPr>
      </w:pPr>
      <w:r>
        <w:rPr>
          <w:rFonts w:ascii="Calibri" w:eastAsia="Calibri" w:hAnsi="Calibri" w:cs="Times New Roman"/>
          <w:b/>
          <w:sz w:val="24"/>
          <w:szCs w:val="24"/>
        </w:rPr>
        <w:t>Consequently, I am asking each member of USCET to complete the following task and return your opinions to me (</w:t>
      </w:r>
      <w:hyperlink r:id="rId8" w:history="1">
        <w:r w:rsidRPr="001E0BBE">
          <w:rPr>
            <w:rStyle w:val="Hyperlink"/>
            <w:rFonts w:ascii="Calibri" w:eastAsia="Calibri" w:hAnsi="Calibri" w:cs="Times New Roman"/>
            <w:b/>
            <w:sz w:val="24"/>
            <w:szCs w:val="24"/>
          </w:rPr>
          <w:t>mlt@aber.ac.uk</w:t>
        </w:r>
      </w:hyperlink>
      <w:r>
        <w:rPr>
          <w:rFonts w:ascii="Calibri" w:eastAsia="Calibri" w:hAnsi="Calibri" w:cs="Times New Roman"/>
          <w:b/>
          <w:sz w:val="24"/>
          <w:szCs w:val="24"/>
        </w:rPr>
        <w:t>) with a copy sent to James (</w:t>
      </w:r>
      <w:hyperlink r:id="rId9" w:history="1">
        <w:r w:rsidRPr="001E0BBE">
          <w:rPr>
            <w:rStyle w:val="Hyperlink"/>
            <w:rFonts w:ascii="Calibri" w:eastAsia="Calibri" w:hAnsi="Calibri" w:cs="Times New Roman"/>
            <w:b/>
            <w:sz w:val="24"/>
            <w:szCs w:val="24"/>
          </w:rPr>
          <w:t>J.Noble-Rogers@ucet.ac.uk</w:t>
        </w:r>
      </w:hyperlink>
      <w:r>
        <w:rPr>
          <w:rFonts w:ascii="Calibri" w:eastAsia="Calibri" w:hAnsi="Calibri" w:cs="Times New Roman"/>
          <w:b/>
          <w:sz w:val="24"/>
          <w:szCs w:val="24"/>
        </w:rPr>
        <w:t>) by Friday 22</w:t>
      </w:r>
      <w:r w:rsidRPr="00D7716B">
        <w:rPr>
          <w:rFonts w:ascii="Calibri" w:eastAsia="Calibri" w:hAnsi="Calibri" w:cs="Times New Roman"/>
          <w:b/>
          <w:sz w:val="24"/>
          <w:szCs w:val="24"/>
          <w:vertAlign w:val="superscript"/>
        </w:rPr>
        <w:t>nd</w:t>
      </w:r>
      <w:r>
        <w:rPr>
          <w:rFonts w:ascii="Calibri" w:eastAsia="Calibri" w:hAnsi="Calibri" w:cs="Times New Roman"/>
          <w:b/>
          <w:sz w:val="24"/>
          <w:szCs w:val="24"/>
        </w:rPr>
        <w:t xml:space="preserve"> February 2019. Once received we will then draft a discussion paper based on the opinions received. In due course, the agreed position with regards partnership working could then inform our current terms of reference. </w:t>
      </w:r>
    </w:p>
    <w:p w:rsidR="00732C2D" w:rsidRDefault="00732C2D">
      <w:pPr>
        <w:rPr>
          <w:rFonts w:ascii="Calibri" w:eastAsia="Calibri" w:hAnsi="Calibri" w:cs="Times New Roman"/>
          <w:b/>
          <w:sz w:val="24"/>
          <w:szCs w:val="24"/>
        </w:rPr>
      </w:pPr>
    </w:p>
    <w:p w:rsidR="005E2699" w:rsidRPr="001B005F" w:rsidRDefault="005E2699" w:rsidP="005E2699">
      <w:pPr>
        <w:jc w:val="center"/>
        <w:rPr>
          <w:rFonts w:ascii="Calibri" w:eastAsia="Calibri" w:hAnsi="Calibri" w:cs="Times New Roman"/>
          <w:b/>
          <w:sz w:val="28"/>
          <w:szCs w:val="28"/>
          <w:u w:val="single"/>
        </w:rPr>
      </w:pPr>
      <w:r w:rsidRPr="001B005F">
        <w:rPr>
          <w:rFonts w:ascii="Calibri" w:eastAsia="Calibri" w:hAnsi="Calibri" w:cs="Times New Roman"/>
          <w:b/>
          <w:sz w:val="28"/>
          <w:szCs w:val="28"/>
          <w:u w:val="single"/>
        </w:rPr>
        <w:t>GWEITHIO MEWN PARTNERIAETH</w:t>
      </w:r>
    </w:p>
    <w:p w:rsidR="00732C2D" w:rsidRPr="005E2699" w:rsidRDefault="00732C2D">
      <w:pPr>
        <w:rPr>
          <w:b/>
          <w:sz w:val="24"/>
          <w:szCs w:val="24"/>
        </w:rPr>
      </w:pPr>
      <w:r w:rsidRPr="005E2699">
        <w:rPr>
          <w:b/>
          <w:sz w:val="24"/>
          <w:szCs w:val="24"/>
        </w:rPr>
        <w:t xml:space="preserve">O gofio'r pwyslais sydd bellach ar waith partneriaeth ar draws gwahanol agweddau Addysg, erbyn hyn mae'n amserol bod USCET Cymru yn ystyried beth mae gweithio mewn partneriaeth yn ei olygu i'r corff cynrychioliadol hwn. Mae'n bwysig bod USCET yn arwain ar hyn er mwyn iddo chwarae rhan ganolog ac annatod o ran hysbysu mentrau cenedlaethol mewn Addysg yng Nghymru. </w:t>
      </w:r>
    </w:p>
    <w:p w:rsidR="00732C2D" w:rsidRPr="005E2699" w:rsidRDefault="00732C2D" w:rsidP="00732C2D">
      <w:pPr>
        <w:rPr>
          <w:b/>
          <w:sz w:val="24"/>
          <w:szCs w:val="24"/>
        </w:rPr>
      </w:pPr>
      <w:r w:rsidRPr="005E2699">
        <w:rPr>
          <w:b/>
          <w:sz w:val="24"/>
          <w:szCs w:val="24"/>
        </w:rPr>
        <w:t>O ganlyniad, yr wyf yn gofyn i bob aelod o USCET gwblhau'r dasg ganlynol a dychwelyd eich barn</w:t>
      </w:r>
      <w:r w:rsidRPr="005E2699">
        <w:rPr>
          <w:b/>
        </w:rPr>
        <w:t xml:space="preserve"> ataf </w:t>
      </w:r>
      <w:r w:rsidRPr="005E2699">
        <w:rPr>
          <w:b/>
          <w:sz w:val="24"/>
          <w:szCs w:val="24"/>
        </w:rPr>
        <w:t>(</w:t>
      </w:r>
      <w:hyperlink r:id="rId10" w:history="1">
        <w:r w:rsidRPr="005E2699">
          <w:rPr>
            <w:rStyle w:val="Hyperlink"/>
            <w:b/>
            <w:sz w:val="24"/>
            <w:szCs w:val="24"/>
          </w:rPr>
          <w:t>mlt@aber.ac.uk</w:t>
        </w:r>
      </w:hyperlink>
      <w:r w:rsidRPr="005E2699">
        <w:rPr>
          <w:sz w:val="24"/>
          <w:szCs w:val="24"/>
        </w:rPr>
        <w:t xml:space="preserve">) </w:t>
      </w:r>
      <w:r w:rsidRPr="005E2699">
        <w:rPr>
          <w:b/>
          <w:sz w:val="24"/>
          <w:szCs w:val="24"/>
        </w:rPr>
        <w:t>gyda chopi wedi'i anfon at James (</w:t>
      </w:r>
      <w:hyperlink r:id="rId11" w:history="1">
        <w:r w:rsidR="005E2699" w:rsidRPr="001E0BBE">
          <w:rPr>
            <w:rStyle w:val="Hyperlink"/>
            <w:b/>
            <w:sz w:val="24"/>
            <w:szCs w:val="24"/>
          </w:rPr>
          <w:t>J.Noble-Rogers@ucet.ac.uk</w:t>
        </w:r>
      </w:hyperlink>
      <w:r w:rsidR="005E2699">
        <w:rPr>
          <w:b/>
          <w:sz w:val="24"/>
          <w:szCs w:val="24"/>
        </w:rPr>
        <w:t>)</w:t>
      </w:r>
      <w:r w:rsidRPr="005E2699">
        <w:rPr>
          <w:b/>
          <w:sz w:val="24"/>
          <w:szCs w:val="24"/>
        </w:rPr>
        <w:t xml:space="preserve"> erbyn dydd Gwener 22 Chwefror 2019. Unwaith y derbynnir, byddwn wedyn yn drafftio papur trafod yn seiliedig ar y farn a dderbyniwyd. Maes o law, gallai'r sefyllfa a gytunwyd gyda'r gwaith o ran partneriaeth wedyn llywio ein cylch gorchwyl presennol.</w:t>
      </w:r>
    </w:p>
    <w:p w:rsidR="002C2A7F" w:rsidRPr="00732C2D" w:rsidRDefault="002C2A7F"/>
    <w:p w:rsidR="002C2A7F" w:rsidRPr="009E2495" w:rsidRDefault="009E2495" w:rsidP="009E2495">
      <w:pPr>
        <w:spacing w:after="0" w:line="240" w:lineRule="auto"/>
        <w:rPr>
          <w:sz w:val="24"/>
          <w:szCs w:val="24"/>
        </w:rPr>
      </w:pPr>
      <w:r w:rsidRPr="009E2495">
        <w:rPr>
          <w:sz w:val="24"/>
          <w:szCs w:val="24"/>
        </w:rPr>
        <w:t>Yr Athro/Professor Malcolm Thomas</w:t>
      </w:r>
    </w:p>
    <w:p w:rsidR="009E2495" w:rsidRDefault="009E2495" w:rsidP="009E2495">
      <w:pPr>
        <w:spacing w:after="0" w:line="240" w:lineRule="auto"/>
        <w:rPr>
          <w:sz w:val="24"/>
          <w:szCs w:val="24"/>
        </w:rPr>
      </w:pPr>
      <w:r w:rsidRPr="009E2495">
        <w:rPr>
          <w:sz w:val="24"/>
          <w:szCs w:val="24"/>
        </w:rPr>
        <w:t>Chair, USCET Cymru</w:t>
      </w:r>
    </w:p>
    <w:p w:rsidR="001B005F" w:rsidRPr="003D6118" w:rsidRDefault="003D6118" w:rsidP="003D6118">
      <w:pPr>
        <w:spacing w:after="0" w:line="240" w:lineRule="auto"/>
        <w:jc w:val="center"/>
        <w:rPr>
          <w:b/>
          <w:sz w:val="28"/>
          <w:szCs w:val="28"/>
        </w:rPr>
      </w:pPr>
      <w:r w:rsidRPr="003D6118">
        <w:rPr>
          <w:b/>
          <w:sz w:val="28"/>
          <w:szCs w:val="28"/>
        </w:rPr>
        <w:lastRenderedPageBreak/>
        <w:t>RESPONSES RECEIVED</w:t>
      </w:r>
    </w:p>
    <w:p w:rsidR="001B005F" w:rsidRDefault="001B005F" w:rsidP="009E2495">
      <w:pPr>
        <w:spacing w:after="0" w:line="240" w:lineRule="auto"/>
        <w:rPr>
          <w:sz w:val="24"/>
          <w:szCs w:val="24"/>
        </w:rPr>
      </w:pPr>
    </w:p>
    <w:tbl>
      <w:tblPr>
        <w:tblStyle w:val="TableGrid"/>
        <w:tblW w:w="0" w:type="auto"/>
        <w:tblLook w:val="04A0" w:firstRow="1" w:lastRow="0" w:firstColumn="1" w:lastColumn="0" w:noHBand="0" w:noVBand="1"/>
      </w:tblPr>
      <w:tblGrid>
        <w:gridCol w:w="3256"/>
        <w:gridCol w:w="5760"/>
      </w:tblGrid>
      <w:tr w:rsidR="001B005F" w:rsidTr="00382ED6">
        <w:tc>
          <w:tcPr>
            <w:tcW w:w="9016" w:type="dxa"/>
            <w:gridSpan w:val="2"/>
          </w:tcPr>
          <w:p w:rsidR="001B005F" w:rsidRDefault="001B005F" w:rsidP="009E2495">
            <w:pPr>
              <w:rPr>
                <w:sz w:val="24"/>
                <w:szCs w:val="24"/>
              </w:rPr>
            </w:pPr>
          </w:p>
          <w:p w:rsidR="001B005F" w:rsidRDefault="001B005F" w:rsidP="001B005F">
            <w:pPr>
              <w:jc w:val="center"/>
              <w:rPr>
                <w:b/>
                <w:sz w:val="24"/>
                <w:szCs w:val="24"/>
              </w:rPr>
            </w:pPr>
            <w:r w:rsidRPr="001B005F">
              <w:rPr>
                <w:b/>
                <w:sz w:val="24"/>
                <w:szCs w:val="24"/>
              </w:rPr>
              <w:t>PARTNERSHIP WORKING</w:t>
            </w:r>
            <w:r>
              <w:rPr>
                <w:b/>
                <w:sz w:val="24"/>
                <w:szCs w:val="24"/>
              </w:rPr>
              <w:t xml:space="preserve"> / </w:t>
            </w:r>
            <w:r w:rsidRPr="001B005F">
              <w:rPr>
                <w:b/>
                <w:sz w:val="24"/>
                <w:szCs w:val="24"/>
              </w:rPr>
              <w:t>GWEITHIO MEWN PARTNERIAETH</w:t>
            </w:r>
          </w:p>
          <w:p w:rsidR="001B005F" w:rsidRPr="001B005F" w:rsidRDefault="001B005F" w:rsidP="009E2495">
            <w:pPr>
              <w:rPr>
                <w:sz w:val="24"/>
                <w:szCs w:val="24"/>
              </w:rPr>
            </w:pPr>
          </w:p>
        </w:tc>
      </w:tr>
      <w:tr w:rsidR="001B005F" w:rsidTr="00A0789B">
        <w:tc>
          <w:tcPr>
            <w:tcW w:w="3256" w:type="dxa"/>
            <w:tcBorders>
              <w:bottom w:val="single" w:sz="4" w:space="0" w:color="auto"/>
            </w:tcBorders>
          </w:tcPr>
          <w:p w:rsidR="00B02C1B" w:rsidRDefault="00B02C1B" w:rsidP="009E2495">
            <w:pPr>
              <w:rPr>
                <w:sz w:val="24"/>
                <w:szCs w:val="24"/>
              </w:rPr>
            </w:pPr>
          </w:p>
          <w:p w:rsidR="00B02C1B" w:rsidRDefault="00B02C1B" w:rsidP="009E2495">
            <w:pPr>
              <w:rPr>
                <w:sz w:val="24"/>
                <w:szCs w:val="24"/>
              </w:rPr>
            </w:pPr>
          </w:p>
          <w:p w:rsidR="001B005F" w:rsidRPr="00486010" w:rsidRDefault="001B005F" w:rsidP="009E2495">
            <w:pPr>
              <w:rPr>
                <w:b/>
                <w:sz w:val="24"/>
                <w:szCs w:val="24"/>
              </w:rPr>
            </w:pPr>
            <w:r w:rsidRPr="00486010">
              <w:rPr>
                <w:b/>
                <w:sz w:val="24"/>
                <w:szCs w:val="24"/>
              </w:rPr>
              <w:t>In order to consider what partnership working means to USCET Cymru, please indicate up to three key principles of partnership working that you feel are important.</w:t>
            </w:r>
          </w:p>
          <w:p w:rsidR="00472B28" w:rsidRPr="00486010" w:rsidRDefault="00472B28" w:rsidP="009E2495">
            <w:pPr>
              <w:rPr>
                <w:b/>
                <w:sz w:val="24"/>
                <w:szCs w:val="24"/>
              </w:rPr>
            </w:pPr>
          </w:p>
          <w:p w:rsidR="00472B28" w:rsidRDefault="00472B28" w:rsidP="009E2495">
            <w:pPr>
              <w:rPr>
                <w:sz w:val="24"/>
                <w:szCs w:val="24"/>
              </w:rPr>
            </w:pPr>
            <w:r w:rsidRPr="00486010">
              <w:rPr>
                <w:b/>
                <w:sz w:val="24"/>
                <w:szCs w:val="24"/>
              </w:rPr>
              <w:t>Er mwyn ystyried beth mae gweithio mewn partneriaeth yn ei olygu i USCET Cymru, nodwch hyd at dair egwyddor allweddol o weithio mewn partneriaeth rydych chi'n teimlo'n bwysig.</w:t>
            </w:r>
          </w:p>
        </w:tc>
        <w:tc>
          <w:tcPr>
            <w:tcW w:w="5760" w:type="dxa"/>
            <w:tcBorders>
              <w:bottom w:val="single" w:sz="4" w:space="0" w:color="auto"/>
            </w:tcBorders>
          </w:tcPr>
          <w:p w:rsidR="001B005F" w:rsidRPr="00B629C1" w:rsidRDefault="001B005F" w:rsidP="001B005F">
            <w:pPr>
              <w:jc w:val="center"/>
              <w:rPr>
                <w:sz w:val="24"/>
                <w:szCs w:val="24"/>
                <w:u w:val="single"/>
              </w:rPr>
            </w:pPr>
            <w:r w:rsidRPr="00B629C1">
              <w:rPr>
                <w:sz w:val="24"/>
                <w:szCs w:val="24"/>
                <w:u w:val="single"/>
              </w:rPr>
              <w:t>PRINCIPLES</w:t>
            </w:r>
            <w:r w:rsidR="00472B28" w:rsidRPr="00B629C1">
              <w:rPr>
                <w:sz w:val="24"/>
                <w:szCs w:val="24"/>
                <w:u w:val="single"/>
              </w:rPr>
              <w:t xml:space="preserve"> / EGWYDDORION</w:t>
            </w:r>
          </w:p>
          <w:p w:rsidR="001B005F" w:rsidRPr="00B629C1" w:rsidRDefault="001B005F" w:rsidP="001B005F">
            <w:pPr>
              <w:jc w:val="center"/>
              <w:rPr>
                <w:sz w:val="24"/>
                <w:szCs w:val="24"/>
              </w:rPr>
            </w:pPr>
          </w:p>
          <w:p w:rsidR="001B005F" w:rsidRDefault="00A0789B" w:rsidP="00B629C1">
            <w:pPr>
              <w:pStyle w:val="ListParagraph"/>
              <w:numPr>
                <w:ilvl w:val="0"/>
                <w:numId w:val="2"/>
              </w:numPr>
              <w:rPr>
                <w:sz w:val="24"/>
                <w:szCs w:val="24"/>
              </w:rPr>
            </w:pPr>
            <w:r>
              <w:rPr>
                <w:sz w:val="24"/>
                <w:szCs w:val="24"/>
              </w:rPr>
              <w:t>C</w:t>
            </w:r>
            <w:r w:rsidR="00B629C1" w:rsidRPr="00B629C1">
              <w:rPr>
                <w:sz w:val="24"/>
                <w:szCs w:val="24"/>
              </w:rPr>
              <w:t>ommitted to a collaboratively agreed shared purpose</w:t>
            </w:r>
            <w:r>
              <w:rPr>
                <w:sz w:val="24"/>
                <w:szCs w:val="24"/>
              </w:rPr>
              <w:t>.</w:t>
            </w:r>
          </w:p>
          <w:p w:rsidR="00B629C1" w:rsidRDefault="00A0789B" w:rsidP="00B629C1">
            <w:pPr>
              <w:pStyle w:val="ListParagraph"/>
              <w:numPr>
                <w:ilvl w:val="0"/>
                <w:numId w:val="2"/>
              </w:numPr>
              <w:rPr>
                <w:sz w:val="24"/>
                <w:szCs w:val="24"/>
              </w:rPr>
            </w:pPr>
            <w:r>
              <w:rPr>
                <w:sz w:val="24"/>
                <w:szCs w:val="24"/>
              </w:rPr>
              <w:t>U</w:t>
            </w:r>
            <w:r w:rsidR="00B629C1" w:rsidRPr="00B629C1">
              <w:rPr>
                <w:sz w:val="24"/>
                <w:szCs w:val="24"/>
              </w:rPr>
              <w:t>pholding and ensuring delivery of the highest possible quality</w:t>
            </w:r>
            <w:r>
              <w:rPr>
                <w:sz w:val="24"/>
                <w:szCs w:val="24"/>
              </w:rPr>
              <w:t>.</w:t>
            </w:r>
          </w:p>
          <w:p w:rsidR="001B005F" w:rsidRPr="00163879" w:rsidRDefault="00A0789B" w:rsidP="00163879">
            <w:pPr>
              <w:pStyle w:val="ListParagraph"/>
              <w:numPr>
                <w:ilvl w:val="0"/>
                <w:numId w:val="2"/>
              </w:numPr>
              <w:rPr>
                <w:sz w:val="24"/>
                <w:szCs w:val="24"/>
              </w:rPr>
            </w:pPr>
            <w:r>
              <w:rPr>
                <w:sz w:val="24"/>
                <w:szCs w:val="24"/>
              </w:rPr>
              <w:t>H</w:t>
            </w:r>
            <w:r w:rsidR="00B629C1" w:rsidRPr="00B629C1">
              <w:rPr>
                <w:sz w:val="24"/>
                <w:szCs w:val="24"/>
              </w:rPr>
              <w:t>onesty</w:t>
            </w:r>
            <w:r>
              <w:rPr>
                <w:sz w:val="24"/>
                <w:szCs w:val="24"/>
              </w:rPr>
              <w:t>.</w:t>
            </w:r>
          </w:p>
          <w:p w:rsidR="001B005F" w:rsidRDefault="00B629C1" w:rsidP="00B629C1">
            <w:pPr>
              <w:rPr>
                <w:sz w:val="24"/>
                <w:szCs w:val="24"/>
              </w:rPr>
            </w:pPr>
            <w:r>
              <w:rPr>
                <w:sz w:val="24"/>
                <w:szCs w:val="24"/>
              </w:rPr>
              <w:t>---------------------------------------------------------------------------</w:t>
            </w:r>
          </w:p>
          <w:p w:rsidR="00B629C1" w:rsidRPr="00B629C1" w:rsidRDefault="00B629C1" w:rsidP="00B629C1">
            <w:pPr>
              <w:pStyle w:val="ListParagraph"/>
              <w:numPr>
                <w:ilvl w:val="0"/>
                <w:numId w:val="3"/>
              </w:numPr>
              <w:rPr>
                <w:sz w:val="24"/>
                <w:szCs w:val="24"/>
              </w:rPr>
            </w:pPr>
            <w:r w:rsidRPr="002E47CB">
              <w:rPr>
                <w:color w:val="000000" w:themeColor="text1"/>
                <w:sz w:val="24"/>
                <w:szCs w:val="24"/>
              </w:rPr>
              <w:t xml:space="preserve">Partnership should be authentic, reciprocal and mutually beneficial to the organisations it represents to improve outcomes for all partnership stakeholders. </w:t>
            </w:r>
            <w:r w:rsidRPr="002E47CB">
              <w:rPr>
                <w:rFonts w:ascii="Calibri" w:eastAsia="Times New Roman" w:hAnsi="Calibri" w:cs="Calibri"/>
                <w:color w:val="000000" w:themeColor="text1"/>
              </w:rPr>
              <w:t>Ultimately the partnership improves capacity and creates greater economies of scale in terms of pooling experience, knowledge, expertise and skills.</w:t>
            </w:r>
          </w:p>
          <w:p w:rsidR="00B629C1" w:rsidRDefault="00B629C1" w:rsidP="00B629C1">
            <w:pPr>
              <w:pStyle w:val="ListParagraph"/>
              <w:numPr>
                <w:ilvl w:val="0"/>
                <w:numId w:val="3"/>
              </w:numPr>
              <w:rPr>
                <w:sz w:val="24"/>
                <w:szCs w:val="24"/>
              </w:rPr>
            </w:pPr>
            <w:r w:rsidRPr="00B629C1">
              <w:rPr>
                <w:sz w:val="24"/>
                <w:szCs w:val="24"/>
              </w:rPr>
              <w:t>Consider an all Wales research strategy for ITE (ITE specific research).</w:t>
            </w:r>
          </w:p>
          <w:p w:rsidR="00B629C1" w:rsidRPr="00163879" w:rsidRDefault="00B629C1" w:rsidP="00163879">
            <w:pPr>
              <w:pStyle w:val="ListParagraph"/>
              <w:numPr>
                <w:ilvl w:val="0"/>
                <w:numId w:val="3"/>
              </w:numPr>
              <w:rPr>
                <w:sz w:val="24"/>
                <w:szCs w:val="24"/>
              </w:rPr>
            </w:pPr>
            <w:r w:rsidRPr="00B629C1">
              <w:rPr>
                <w:sz w:val="24"/>
                <w:szCs w:val="24"/>
              </w:rPr>
              <w:t>Continued joint working to address the transformational education that is happening in Wales so that we ensure practice is aligned as it develops and the National Mission is realised.  Partnership will help to ensure continuity and progression between ITE and schools in the transformation agenda. Collaborative groups with stakeholders working together towards common smart targets can help to achieve this.</w:t>
            </w:r>
          </w:p>
          <w:p w:rsidR="00B629C1" w:rsidRPr="00B629C1" w:rsidRDefault="00B629C1" w:rsidP="00B629C1">
            <w:pPr>
              <w:rPr>
                <w:sz w:val="24"/>
                <w:szCs w:val="24"/>
              </w:rPr>
            </w:pPr>
            <w:r>
              <w:rPr>
                <w:sz w:val="24"/>
                <w:szCs w:val="24"/>
              </w:rPr>
              <w:t>---------------------------------------------------------------------------</w:t>
            </w:r>
          </w:p>
          <w:p w:rsidR="00B629C1" w:rsidRDefault="00B629C1" w:rsidP="00B629C1">
            <w:pPr>
              <w:pStyle w:val="ListParagraph"/>
              <w:numPr>
                <w:ilvl w:val="0"/>
                <w:numId w:val="4"/>
              </w:numPr>
              <w:rPr>
                <w:sz w:val="24"/>
                <w:szCs w:val="24"/>
              </w:rPr>
            </w:pPr>
            <w:r w:rsidRPr="0021315E">
              <w:rPr>
                <w:sz w:val="24"/>
                <w:szCs w:val="24"/>
              </w:rPr>
              <w:t>Transparency</w:t>
            </w:r>
            <w:r>
              <w:rPr>
                <w:sz w:val="24"/>
                <w:szCs w:val="24"/>
              </w:rPr>
              <w:t xml:space="preserve"> in discussions and open, frank conversations about both issues and successes.</w:t>
            </w:r>
          </w:p>
          <w:p w:rsidR="00B629C1" w:rsidRDefault="00B629C1" w:rsidP="00B629C1">
            <w:pPr>
              <w:pStyle w:val="ListParagraph"/>
              <w:numPr>
                <w:ilvl w:val="0"/>
                <w:numId w:val="4"/>
              </w:numPr>
              <w:rPr>
                <w:sz w:val="24"/>
                <w:szCs w:val="24"/>
              </w:rPr>
            </w:pPr>
            <w:r w:rsidRPr="0021315E">
              <w:rPr>
                <w:sz w:val="24"/>
                <w:szCs w:val="24"/>
              </w:rPr>
              <w:t>United voice to co</w:t>
            </w:r>
            <w:r>
              <w:rPr>
                <w:sz w:val="24"/>
                <w:szCs w:val="24"/>
              </w:rPr>
              <w:t>mmunicate with outside agencies including WG, EWC and HEFCW and to lobby for action.</w:t>
            </w:r>
          </w:p>
          <w:p w:rsidR="00B629C1" w:rsidRPr="00163879" w:rsidRDefault="00B629C1" w:rsidP="00163879">
            <w:pPr>
              <w:pStyle w:val="ListParagraph"/>
              <w:numPr>
                <w:ilvl w:val="0"/>
                <w:numId w:val="4"/>
              </w:numPr>
              <w:rPr>
                <w:sz w:val="24"/>
                <w:szCs w:val="24"/>
              </w:rPr>
            </w:pPr>
            <w:r w:rsidRPr="00B629C1">
              <w:rPr>
                <w:sz w:val="24"/>
                <w:szCs w:val="24"/>
              </w:rPr>
              <w:t>Collaboration not competition between accredited providers.</w:t>
            </w:r>
          </w:p>
          <w:p w:rsidR="00B629C1" w:rsidRPr="00B629C1" w:rsidRDefault="00B629C1" w:rsidP="00B629C1">
            <w:pPr>
              <w:rPr>
                <w:sz w:val="24"/>
                <w:szCs w:val="24"/>
              </w:rPr>
            </w:pPr>
            <w:r>
              <w:rPr>
                <w:sz w:val="24"/>
                <w:szCs w:val="24"/>
              </w:rPr>
              <w:t>---------------------------------------------------------------------------</w:t>
            </w:r>
          </w:p>
          <w:p w:rsidR="00731D27" w:rsidRPr="00731D27" w:rsidRDefault="00731D27" w:rsidP="00731D27">
            <w:pPr>
              <w:numPr>
                <w:ilvl w:val="0"/>
                <w:numId w:val="5"/>
              </w:numPr>
              <w:spacing w:after="160" w:line="259" w:lineRule="auto"/>
              <w:contextualSpacing/>
              <w:jc w:val="both"/>
              <w:rPr>
                <w:sz w:val="24"/>
                <w:szCs w:val="24"/>
              </w:rPr>
            </w:pPr>
            <w:r w:rsidRPr="00731D27">
              <w:rPr>
                <w:sz w:val="24"/>
                <w:szCs w:val="24"/>
                <w:u w:val="single"/>
              </w:rPr>
              <w:t>Transparency</w:t>
            </w:r>
          </w:p>
          <w:p w:rsidR="00731D27" w:rsidRPr="00731D27" w:rsidRDefault="00731D27" w:rsidP="00731D27">
            <w:pPr>
              <w:numPr>
                <w:ilvl w:val="0"/>
                <w:numId w:val="6"/>
              </w:numPr>
              <w:spacing w:after="160" w:line="259" w:lineRule="auto"/>
              <w:contextualSpacing/>
              <w:jc w:val="both"/>
              <w:rPr>
                <w:sz w:val="24"/>
                <w:szCs w:val="24"/>
              </w:rPr>
            </w:pPr>
            <w:r w:rsidRPr="00731D27">
              <w:rPr>
                <w:sz w:val="24"/>
                <w:szCs w:val="24"/>
              </w:rPr>
              <w:t>Clear communication</w:t>
            </w:r>
            <w:r w:rsidR="007703D2">
              <w:rPr>
                <w:sz w:val="24"/>
                <w:szCs w:val="24"/>
              </w:rPr>
              <w:t>.</w:t>
            </w:r>
          </w:p>
          <w:p w:rsidR="00731D27" w:rsidRPr="00731D27" w:rsidRDefault="00731D27" w:rsidP="00731D27">
            <w:pPr>
              <w:numPr>
                <w:ilvl w:val="0"/>
                <w:numId w:val="6"/>
              </w:numPr>
              <w:spacing w:after="160" w:line="259" w:lineRule="auto"/>
              <w:contextualSpacing/>
              <w:jc w:val="both"/>
              <w:rPr>
                <w:sz w:val="24"/>
                <w:szCs w:val="24"/>
              </w:rPr>
            </w:pPr>
            <w:r w:rsidRPr="00731D27">
              <w:rPr>
                <w:sz w:val="24"/>
                <w:szCs w:val="24"/>
              </w:rPr>
              <w:t>Shared understanding of expectations and terms of engagement</w:t>
            </w:r>
            <w:r w:rsidR="007703D2">
              <w:rPr>
                <w:sz w:val="24"/>
                <w:szCs w:val="24"/>
              </w:rPr>
              <w:t>.</w:t>
            </w:r>
          </w:p>
          <w:p w:rsidR="00731D27" w:rsidRPr="00731D27" w:rsidRDefault="00731D27" w:rsidP="00731D27">
            <w:pPr>
              <w:numPr>
                <w:ilvl w:val="0"/>
                <w:numId w:val="6"/>
              </w:numPr>
              <w:spacing w:after="160" w:line="259" w:lineRule="auto"/>
              <w:contextualSpacing/>
              <w:jc w:val="both"/>
              <w:rPr>
                <w:sz w:val="24"/>
                <w:szCs w:val="24"/>
              </w:rPr>
            </w:pPr>
            <w:r w:rsidRPr="00731D27">
              <w:rPr>
                <w:sz w:val="24"/>
                <w:szCs w:val="24"/>
              </w:rPr>
              <w:t>Co-constructed vision and goals</w:t>
            </w:r>
            <w:r w:rsidR="007703D2">
              <w:rPr>
                <w:sz w:val="24"/>
                <w:szCs w:val="24"/>
              </w:rPr>
              <w:t>.</w:t>
            </w:r>
          </w:p>
          <w:p w:rsidR="00731D27" w:rsidRPr="00731D27" w:rsidRDefault="00731D27" w:rsidP="00731D27">
            <w:pPr>
              <w:spacing w:after="160" w:line="259" w:lineRule="auto"/>
              <w:contextualSpacing/>
              <w:jc w:val="both"/>
              <w:rPr>
                <w:sz w:val="24"/>
                <w:szCs w:val="24"/>
                <w:u w:val="single"/>
              </w:rPr>
            </w:pPr>
          </w:p>
          <w:p w:rsidR="00731D27" w:rsidRPr="00731D27" w:rsidRDefault="00731D27" w:rsidP="00731D27">
            <w:pPr>
              <w:numPr>
                <w:ilvl w:val="0"/>
                <w:numId w:val="5"/>
              </w:numPr>
              <w:spacing w:after="160" w:line="259" w:lineRule="auto"/>
              <w:contextualSpacing/>
              <w:jc w:val="both"/>
              <w:rPr>
                <w:sz w:val="24"/>
                <w:szCs w:val="24"/>
                <w:u w:val="single"/>
              </w:rPr>
            </w:pPr>
            <w:r w:rsidRPr="00731D27">
              <w:rPr>
                <w:sz w:val="24"/>
                <w:szCs w:val="24"/>
                <w:u w:val="single"/>
              </w:rPr>
              <w:t>Effective Planning of Time and Resources</w:t>
            </w:r>
          </w:p>
          <w:p w:rsidR="00731D27" w:rsidRDefault="00731D27" w:rsidP="00731D27">
            <w:pPr>
              <w:numPr>
                <w:ilvl w:val="0"/>
                <w:numId w:val="7"/>
              </w:numPr>
              <w:spacing w:after="160" w:line="259" w:lineRule="auto"/>
              <w:contextualSpacing/>
              <w:jc w:val="both"/>
              <w:rPr>
                <w:sz w:val="24"/>
                <w:szCs w:val="24"/>
                <w:u w:val="single"/>
              </w:rPr>
            </w:pPr>
            <w:r w:rsidRPr="00731D27">
              <w:rPr>
                <w:sz w:val="24"/>
                <w:szCs w:val="24"/>
              </w:rPr>
              <w:t>Time and resource to build relationships and collaborative ways of working</w:t>
            </w:r>
            <w:r w:rsidR="007703D2">
              <w:rPr>
                <w:sz w:val="24"/>
                <w:szCs w:val="24"/>
              </w:rPr>
              <w:t>.</w:t>
            </w:r>
          </w:p>
          <w:p w:rsidR="00731D27" w:rsidRPr="00731D27" w:rsidRDefault="00731D27" w:rsidP="00731D27">
            <w:pPr>
              <w:spacing w:after="160" w:line="259" w:lineRule="auto"/>
              <w:ind w:left="1080"/>
              <w:contextualSpacing/>
              <w:jc w:val="both"/>
              <w:rPr>
                <w:sz w:val="24"/>
                <w:szCs w:val="24"/>
                <w:u w:val="single"/>
              </w:rPr>
            </w:pPr>
          </w:p>
          <w:p w:rsidR="00731D27" w:rsidRPr="00731D27" w:rsidRDefault="00731D27" w:rsidP="00731D27">
            <w:pPr>
              <w:numPr>
                <w:ilvl w:val="0"/>
                <w:numId w:val="5"/>
              </w:numPr>
              <w:spacing w:after="160" w:line="259" w:lineRule="auto"/>
              <w:contextualSpacing/>
              <w:jc w:val="both"/>
              <w:rPr>
                <w:sz w:val="24"/>
                <w:szCs w:val="24"/>
                <w:u w:val="single"/>
              </w:rPr>
            </w:pPr>
            <w:r w:rsidRPr="00731D27">
              <w:rPr>
                <w:sz w:val="24"/>
                <w:szCs w:val="24"/>
                <w:u w:val="single"/>
              </w:rPr>
              <w:t>Joint accountability</w:t>
            </w:r>
          </w:p>
          <w:p w:rsidR="00731D27" w:rsidRDefault="00731D27" w:rsidP="00731D27">
            <w:pPr>
              <w:numPr>
                <w:ilvl w:val="0"/>
                <w:numId w:val="7"/>
              </w:numPr>
              <w:spacing w:after="160" w:line="259" w:lineRule="auto"/>
              <w:contextualSpacing/>
              <w:jc w:val="both"/>
              <w:rPr>
                <w:sz w:val="24"/>
                <w:szCs w:val="24"/>
              </w:rPr>
            </w:pPr>
            <w:r w:rsidRPr="00731D27">
              <w:rPr>
                <w:sz w:val="24"/>
                <w:szCs w:val="24"/>
              </w:rPr>
              <w:t>Mutually supportive processes</w:t>
            </w:r>
            <w:r w:rsidR="007703D2">
              <w:rPr>
                <w:sz w:val="24"/>
                <w:szCs w:val="24"/>
              </w:rPr>
              <w:t>.</w:t>
            </w:r>
          </w:p>
          <w:p w:rsidR="00731D27" w:rsidRPr="007703D2" w:rsidRDefault="00731D27" w:rsidP="00731D27">
            <w:pPr>
              <w:numPr>
                <w:ilvl w:val="0"/>
                <w:numId w:val="7"/>
              </w:numPr>
              <w:spacing w:after="160" w:line="259" w:lineRule="auto"/>
              <w:contextualSpacing/>
              <w:jc w:val="both"/>
              <w:rPr>
                <w:sz w:val="24"/>
                <w:szCs w:val="24"/>
              </w:rPr>
            </w:pPr>
            <w:r w:rsidRPr="00731D27">
              <w:rPr>
                <w:sz w:val="24"/>
                <w:szCs w:val="24"/>
              </w:rPr>
              <w:t>Consistency of approach</w:t>
            </w:r>
            <w:r w:rsidR="007703D2">
              <w:rPr>
                <w:sz w:val="24"/>
                <w:szCs w:val="24"/>
              </w:rPr>
              <w:t>.</w:t>
            </w:r>
          </w:p>
          <w:p w:rsidR="00B629C1" w:rsidRDefault="00731D27" w:rsidP="00731D27">
            <w:pPr>
              <w:rPr>
                <w:sz w:val="24"/>
                <w:szCs w:val="24"/>
              </w:rPr>
            </w:pPr>
            <w:r>
              <w:rPr>
                <w:sz w:val="24"/>
                <w:szCs w:val="24"/>
              </w:rPr>
              <w:t>---------------------------------------------------------------------------</w:t>
            </w:r>
          </w:p>
          <w:p w:rsidR="00731D27" w:rsidRDefault="00681F30" w:rsidP="00681F30">
            <w:pPr>
              <w:pStyle w:val="ListParagraph"/>
              <w:numPr>
                <w:ilvl w:val="0"/>
                <w:numId w:val="8"/>
              </w:numPr>
              <w:rPr>
                <w:sz w:val="24"/>
                <w:szCs w:val="24"/>
              </w:rPr>
            </w:pPr>
            <w:r w:rsidRPr="0084665B">
              <w:rPr>
                <w:sz w:val="24"/>
                <w:szCs w:val="24"/>
              </w:rPr>
              <w:t xml:space="preserve">The equality of </w:t>
            </w:r>
            <w:r>
              <w:rPr>
                <w:sz w:val="24"/>
                <w:szCs w:val="24"/>
              </w:rPr>
              <w:t xml:space="preserve">all </w:t>
            </w:r>
            <w:r w:rsidRPr="0084665B">
              <w:rPr>
                <w:sz w:val="24"/>
                <w:szCs w:val="24"/>
              </w:rPr>
              <w:t>the partners</w:t>
            </w:r>
            <w:r>
              <w:rPr>
                <w:sz w:val="24"/>
                <w:szCs w:val="24"/>
              </w:rPr>
              <w:t>.</w:t>
            </w:r>
          </w:p>
          <w:p w:rsidR="00681F30" w:rsidRDefault="00681F30" w:rsidP="00681F30">
            <w:pPr>
              <w:pStyle w:val="ListParagraph"/>
              <w:numPr>
                <w:ilvl w:val="0"/>
                <w:numId w:val="8"/>
              </w:numPr>
              <w:rPr>
                <w:sz w:val="24"/>
                <w:szCs w:val="24"/>
              </w:rPr>
            </w:pPr>
            <w:r>
              <w:rPr>
                <w:sz w:val="24"/>
                <w:szCs w:val="24"/>
              </w:rPr>
              <w:t>The ability to affect change in real issues impacting the partners.</w:t>
            </w:r>
          </w:p>
          <w:p w:rsidR="00681F30" w:rsidRPr="007703D2" w:rsidRDefault="00681F30" w:rsidP="007703D2">
            <w:pPr>
              <w:pStyle w:val="ListParagraph"/>
              <w:numPr>
                <w:ilvl w:val="0"/>
                <w:numId w:val="8"/>
              </w:numPr>
              <w:rPr>
                <w:sz w:val="24"/>
                <w:szCs w:val="24"/>
              </w:rPr>
            </w:pPr>
            <w:r w:rsidRPr="00681F30">
              <w:rPr>
                <w:sz w:val="24"/>
                <w:szCs w:val="24"/>
              </w:rPr>
              <w:t>That competitive elements between partners need to be honestly and clearly acknowledged, and where possible, placed to one side.</w:t>
            </w:r>
          </w:p>
          <w:p w:rsidR="00681F30" w:rsidRDefault="00681F30" w:rsidP="00681F30">
            <w:pPr>
              <w:rPr>
                <w:sz w:val="24"/>
                <w:szCs w:val="24"/>
              </w:rPr>
            </w:pPr>
            <w:r>
              <w:rPr>
                <w:sz w:val="24"/>
                <w:szCs w:val="24"/>
              </w:rPr>
              <w:t>--------------------------------------------------------------------------</w:t>
            </w:r>
          </w:p>
          <w:p w:rsidR="00681F30" w:rsidRDefault="00E610BA" w:rsidP="00E610BA">
            <w:pPr>
              <w:pStyle w:val="ListParagraph"/>
              <w:numPr>
                <w:ilvl w:val="0"/>
                <w:numId w:val="9"/>
              </w:numPr>
              <w:rPr>
                <w:sz w:val="24"/>
                <w:szCs w:val="24"/>
              </w:rPr>
            </w:pPr>
            <w:r w:rsidRPr="008C0511">
              <w:rPr>
                <w:sz w:val="24"/>
                <w:szCs w:val="24"/>
              </w:rPr>
              <w:t>Working with our franchise partner to develop and deliver high-quality ITE programmes for both undergraduate and postgraduate QTS awards.</w:t>
            </w:r>
          </w:p>
          <w:p w:rsidR="00E610BA" w:rsidRDefault="00E610BA" w:rsidP="00E610BA">
            <w:pPr>
              <w:pStyle w:val="ListParagraph"/>
              <w:numPr>
                <w:ilvl w:val="0"/>
                <w:numId w:val="9"/>
              </w:numPr>
              <w:rPr>
                <w:sz w:val="24"/>
                <w:szCs w:val="24"/>
              </w:rPr>
            </w:pPr>
            <w:r w:rsidRPr="00E610BA">
              <w:rPr>
                <w:sz w:val="24"/>
                <w:szCs w:val="24"/>
              </w:rPr>
              <w:t>Working closely with partner schools to develop high-quality and sustained development of robust mentoring systems.  These are supported in collaboration with effective QA processes assured by our franchise partner.</w:t>
            </w:r>
          </w:p>
          <w:p w:rsidR="00D2003C" w:rsidRPr="007703D2" w:rsidRDefault="00E610BA" w:rsidP="007703D2">
            <w:pPr>
              <w:pStyle w:val="ListParagraph"/>
              <w:numPr>
                <w:ilvl w:val="0"/>
                <w:numId w:val="9"/>
              </w:numPr>
              <w:rPr>
                <w:sz w:val="24"/>
                <w:szCs w:val="24"/>
              </w:rPr>
            </w:pPr>
            <w:r w:rsidRPr="00E610BA">
              <w:rPr>
                <w:sz w:val="24"/>
                <w:szCs w:val="24"/>
              </w:rPr>
              <w:t>Working with the eight Welsh HEIs and the Open University, in collaboration with Welsh Government to develop sustainable and quality assured professional learning opportunities for all partners in education in Wales and the Marches.</w:t>
            </w:r>
          </w:p>
          <w:p w:rsidR="00D2003C" w:rsidRDefault="00D2003C" w:rsidP="00D2003C">
            <w:pPr>
              <w:rPr>
                <w:sz w:val="24"/>
                <w:szCs w:val="24"/>
              </w:rPr>
            </w:pPr>
            <w:r>
              <w:rPr>
                <w:sz w:val="24"/>
                <w:szCs w:val="24"/>
              </w:rPr>
              <w:t>-------------------------------------------------------------------------</w:t>
            </w:r>
          </w:p>
          <w:p w:rsidR="00D2003C" w:rsidRDefault="00750557" w:rsidP="00750557">
            <w:pPr>
              <w:pStyle w:val="ListParagraph"/>
              <w:numPr>
                <w:ilvl w:val="0"/>
                <w:numId w:val="10"/>
              </w:numPr>
              <w:rPr>
                <w:sz w:val="24"/>
                <w:szCs w:val="24"/>
              </w:rPr>
            </w:pPr>
            <w:r w:rsidRPr="00750557">
              <w:rPr>
                <w:sz w:val="24"/>
                <w:szCs w:val="24"/>
              </w:rPr>
              <w:t>That there should be no hierarchy of knowledge – intellectual and experiential knowledge is equally valued.</w:t>
            </w:r>
          </w:p>
          <w:p w:rsidR="00750557" w:rsidRDefault="00750557" w:rsidP="00750557">
            <w:pPr>
              <w:pStyle w:val="ListParagraph"/>
              <w:numPr>
                <w:ilvl w:val="0"/>
                <w:numId w:val="10"/>
              </w:numPr>
              <w:rPr>
                <w:sz w:val="24"/>
                <w:szCs w:val="24"/>
              </w:rPr>
            </w:pPr>
            <w:r w:rsidRPr="00750557">
              <w:rPr>
                <w:sz w:val="24"/>
                <w:szCs w:val="24"/>
              </w:rPr>
              <w:t>That meaningful relationships are built on integrity and openness – no hidden agendas.</w:t>
            </w:r>
          </w:p>
          <w:p w:rsidR="00750557" w:rsidRPr="007703D2" w:rsidRDefault="00750557" w:rsidP="007703D2">
            <w:pPr>
              <w:pStyle w:val="ListParagraph"/>
              <w:numPr>
                <w:ilvl w:val="0"/>
                <w:numId w:val="10"/>
              </w:numPr>
              <w:rPr>
                <w:sz w:val="24"/>
                <w:szCs w:val="24"/>
              </w:rPr>
            </w:pPr>
            <w:r w:rsidRPr="0047055B">
              <w:rPr>
                <w:sz w:val="24"/>
                <w:szCs w:val="24"/>
              </w:rPr>
              <w:t>That partners work for the common good of education in Wales and are not in any way self-serving.</w:t>
            </w:r>
          </w:p>
          <w:p w:rsidR="00750557" w:rsidRDefault="00750557" w:rsidP="00750557">
            <w:pPr>
              <w:rPr>
                <w:sz w:val="24"/>
                <w:szCs w:val="24"/>
              </w:rPr>
            </w:pPr>
            <w:r>
              <w:rPr>
                <w:sz w:val="24"/>
                <w:szCs w:val="24"/>
              </w:rPr>
              <w:t>-------------------------------------------------------------------------</w:t>
            </w:r>
          </w:p>
          <w:p w:rsidR="00750557" w:rsidRDefault="001F59F3" w:rsidP="001F59F3">
            <w:pPr>
              <w:pStyle w:val="ListParagraph"/>
              <w:numPr>
                <w:ilvl w:val="0"/>
                <w:numId w:val="11"/>
              </w:numPr>
              <w:rPr>
                <w:sz w:val="24"/>
                <w:szCs w:val="24"/>
              </w:rPr>
            </w:pPr>
            <w:r>
              <w:rPr>
                <w:sz w:val="24"/>
                <w:szCs w:val="24"/>
              </w:rPr>
              <w:t xml:space="preserve">To work collaboratively within an open and trustworthy approach, </w:t>
            </w:r>
            <w:r w:rsidR="00B22F9E">
              <w:rPr>
                <w:sz w:val="24"/>
                <w:szCs w:val="24"/>
              </w:rPr>
              <w:t xml:space="preserve">with USCET partners and other professional bodies (Welsh Government, Estyn, EWC, etc), </w:t>
            </w:r>
            <w:r>
              <w:rPr>
                <w:sz w:val="24"/>
                <w:szCs w:val="24"/>
              </w:rPr>
              <w:t>to support the developmental work pertaining to teacher education in Wales.</w:t>
            </w:r>
          </w:p>
          <w:p w:rsidR="001F59F3" w:rsidRDefault="001F59F3" w:rsidP="001F59F3">
            <w:pPr>
              <w:pStyle w:val="ListParagraph"/>
              <w:numPr>
                <w:ilvl w:val="0"/>
                <w:numId w:val="11"/>
              </w:numPr>
              <w:rPr>
                <w:sz w:val="24"/>
                <w:szCs w:val="24"/>
              </w:rPr>
            </w:pPr>
            <w:r>
              <w:rPr>
                <w:sz w:val="24"/>
                <w:szCs w:val="24"/>
              </w:rPr>
              <w:t xml:space="preserve">To be proactive in leading on projects and initiatives that would assist in </w:t>
            </w:r>
            <w:r w:rsidR="00B22F9E">
              <w:rPr>
                <w:sz w:val="24"/>
                <w:szCs w:val="24"/>
              </w:rPr>
              <w:t xml:space="preserve">supporting and sustaining </w:t>
            </w:r>
            <w:r>
              <w:rPr>
                <w:sz w:val="24"/>
                <w:szCs w:val="24"/>
              </w:rPr>
              <w:t>the high quality of initial teacher education in Wales.</w:t>
            </w:r>
          </w:p>
          <w:p w:rsidR="00FC587D" w:rsidRDefault="00FC587D" w:rsidP="001F59F3">
            <w:pPr>
              <w:pStyle w:val="ListParagraph"/>
              <w:numPr>
                <w:ilvl w:val="0"/>
                <w:numId w:val="11"/>
              </w:numPr>
              <w:rPr>
                <w:sz w:val="24"/>
                <w:szCs w:val="24"/>
              </w:rPr>
            </w:pPr>
            <w:r>
              <w:rPr>
                <w:sz w:val="24"/>
                <w:szCs w:val="24"/>
              </w:rPr>
              <w:t xml:space="preserve">To ensure capacity working within the ITE sector there is the need to share the collaborative work with professional bodies within the sub-groups facility of USCET and to seek views and disseminate outcomes emerging from the work to members and institutions who are not part of the sub-group. </w:t>
            </w:r>
          </w:p>
          <w:p w:rsidR="00B22F9E" w:rsidRDefault="001F59F3" w:rsidP="007703D2">
            <w:pPr>
              <w:pStyle w:val="ListParagraph"/>
              <w:numPr>
                <w:ilvl w:val="0"/>
                <w:numId w:val="11"/>
              </w:numPr>
              <w:rPr>
                <w:sz w:val="24"/>
                <w:szCs w:val="24"/>
              </w:rPr>
            </w:pPr>
            <w:r>
              <w:rPr>
                <w:sz w:val="24"/>
                <w:szCs w:val="24"/>
              </w:rPr>
              <w:t>To implement activities that would promote and disseminate the contribution that the collective ITE sector is making to education</w:t>
            </w:r>
            <w:r w:rsidR="00B22F9E">
              <w:rPr>
                <w:sz w:val="24"/>
                <w:szCs w:val="24"/>
              </w:rPr>
              <w:t xml:space="preserve"> research</w:t>
            </w:r>
            <w:r>
              <w:rPr>
                <w:sz w:val="24"/>
                <w:szCs w:val="24"/>
              </w:rPr>
              <w:t xml:space="preserve"> in Wales</w:t>
            </w:r>
            <w:r w:rsidR="00B22F9E">
              <w:rPr>
                <w:sz w:val="24"/>
                <w:szCs w:val="24"/>
              </w:rPr>
              <w:t>.</w:t>
            </w:r>
          </w:p>
          <w:p w:rsidR="007703D2" w:rsidRPr="007703D2" w:rsidRDefault="007703D2" w:rsidP="007703D2">
            <w:pPr>
              <w:pStyle w:val="ListParagraph"/>
              <w:rPr>
                <w:sz w:val="24"/>
                <w:szCs w:val="24"/>
              </w:rPr>
            </w:pPr>
          </w:p>
        </w:tc>
      </w:tr>
      <w:tr w:rsidR="00B629C1" w:rsidTr="00A0789B">
        <w:tc>
          <w:tcPr>
            <w:tcW w:w="3256" w:type="dxa"/>
            <w:shd w:val="clear" w:color="auto" w:fill="D9D9D9" w:themeFill="background1" w:themeFillShade="D9"/>
          </w:tcPr>
          <w:p w:rsidR="00B629C1" w:rsidRDefault="00B629C1" w:rsidP="009E2495">
            <w:pPr>
              <w:rPr>
                <w:sz w:val="24"/>
                <w:szCs w:val="24"/>
              </w:rPr>
            </w:pPr>
          </w:p>
        </w:tc>
        <w:tc>
          <w:tcPr>
            <w:tcW w:w="5760" w:type="dxa"/>
            <w:shd w:val="clear" w:color="auto" w:fill="D9D9D9" w:themeFill="background1" w:themeFillShade="D9"/>
          </w:tcPr>
          <w:p w:rsidR="00B629C1" w:rsidRPr="00B629C1" w:rsidRDefault="00B629C1" w:rsidP="001B005F">
            <w:pPr>
              <w:jc w:val="center"/>
              <w:rPr>
                <w:sz w:val="24"/>
                <w:szCs w:val="24"/>
                <w:u w:val="single"/>
              </w:rPr>
            </w:pPr>
          </w:p>
        </w:tc>
      </w:tr>
      <w:tr w:rsidR="001B005F" w:rsidTr="001B005F">
        <w:tc>
          <w:tcPr>
            <w:tcW w:w="3256" w:type="dxa"/>
          </w:tcPr>
          <w:p w:rsidR="00B02C1B" w:rsidRDefault="00B02C1B" w:rsidP="009E2495">
            <w:pPr>
              <w:rPr>
                <w:sz w:val="24"/>
                <w:szCs w:val="24"/>
              </w:rPr>
            </w:pPr>
          </w:p>
          <w:p w:rsidR="00B02C1B" w:rsidRDefault="00B02C1B" w:rsidP="009E2495">
            <w:pPr>
              <w:rPr>
                <w:sz w:val="24"/>
                <w:szCs w:val="24"/>
              </w:rPr>
            </w:pPr>
          </w:p>
          <w:p w:rsidR="001B005F" w:rsidRPr="00F8231C" w:rsidRDefault="007522D3" w:rsidP="009E2495">
            <w:pPr>
              <w:rPr>
                <w:b/>
                <w:sz w:val="24"/>
                <w:szCs w:val="24"/>
              </w:rPr>
            </w:pPr>
            <w:r w:rsidRPr="00F8231C">
              <w:rPr>
                <w:b/>
                <w:sz w:val="24"/>
                <w:szCs w:val="24"/>
              </w:rPr>
              <w:t>Suggest one area where USCET members can work in partnership.</w:t>
            </w:r>
          </w:p>
          <w:p w:rsidR="00B02C1B" w:rsidRPr="00F8231C" w:rsidRDefault="00B02C1B" w:rsidP="009E2495">
            <w:pPr>
              <w:rPr>
                <w:b/>
                <w:sz w:val="24"/>
                <w:szCs w:val="24"/>
              </w:rPr>
            </w:pPr>
          </w:p>
          <w:p w:rsidR="00B02C1B" w:rsidRPr="00F8231C" w:rsidRDefault="00B02C1B" w:rsidP="009E2495">
            <w:pPr>
              <w:rPr>
                <w:b/>
                <w:sz w:val="24"/>
                <w:szCs w:val="24"/>
              </w:rPr>
            </w:pPr>
            <w:r w:rsidRPr="00F8231C">
              <w:rPr>
                <w:b/>
                <w:sz w:val="24"/>
                <w:szCs w:val="24"/>
              </w:rPr>
              <w:t>Awgrymwch un maes lle gall aelodau USCET weithio mewn partneriaeth.</w:t>
            </w:r>
          </w:p>
          <w:p w:rsidR="007522D3" w:rsidRDefault="007522D3" w:rsidP="009E2495">
            <w:pPr>
              <w:rPr>
                <w:sz w:val="24"/>
                <w:szCs w:val="24"/>
              </w:rPr>
            </w:pPr>
          </w:p>
          <w:p w:rsidR="007522D3" w:rsidRDefault="007522D3" w:rsidP="009E2495">
            <w:pPr>
              <w:rPr>
                <w:sz w:val="24"/>
                <w:szCs w:val="24"/>
              </w:rPr>
            </w:pPr>
          </w:p>
          <w:p w:rsidR="007522D3" w:rsidRDefault="007522D3" w:rsidP="009E2495">
            <w:pPr>
              <w:rPr>
                <w:sz w:val="24"/>
                <w:szCs w:val="24"/>
              </w:rPr>
            </w:pPr>
          </w:p>
        </w:tc>
        <w:tc>
          <w:tcPr>
            <w:tcW w:w="5760" w:type="dxa"/>
          </w:tcPr>
          <w:p w:rsidR="001B005F" w:rsidRDefault="00B02C1B" w:rsidP="00B02C1B">
            <w:pPr>
              <w:jc w:val="center"/>
              <w:rPr>
                <w:sz w:val="24"/>
                <w:szCs w:val="24"/>
                <w:u w:val="single"/>
              </w:rPr>
            </w:pPr>
            <w:r w:rsidRPr="00B02C1B">
              <w:rPr>
                <w:sz w:val="24"/>
                <w:szCs w:val="24"/>
                <w:u w:val="single"/>
              </w:rPr>
              <w:t>EXAMPLE / ENGHRAIFFT</w:t>
            </w:r>
          </w:p>
          <w:p w:rsidR="008A2003" w:rsidRDefault="008A2003" w:rsidP="00B02C1B">
            <w:pPr>
              <w:jc w:val="center"/>
              <w:rPr>
                <w:sz w:val="24"/>
                <w:szCs w:val="24"/>
                <w:u w:val="single"/>
              </w:rPr>
            </w:pPr>
          </w:p>
          <w:p w:rsidR="008A2003" w:rsidRPr="00B629C1" w:rsidRDefault="00FC587D" w:rsidP="008A2003">
            <w:pPr>
              <w:pStyle w:val="ListParagraph"/>
              <w:numPr>
                <w:ilvl w:val="0"/>
                <w:numId w:val="2"/>
              </w:numPr>
              <w:rPr>
                <w:sz w:val="24"/>
                <w:szCs w:val="24"/>
                <w:u w:val="single"/>
              </w:rPr>
            </w:pPr>
            <w:r>
              <w:rPr>
                <w:rFonts w:ascii="Calibri" w:hAnsi="Calibri" w:cs="Calibri"/>
                <w:color w:val="000000"/>
              </w:rPr>
              <w:t>T</w:t>
            </w:r>
            <w:r w:rsidR="00B629C1">
              <w:rPr>
                <w:rFonts w:ascii="Calibri" w:hAnsi="Calibri" w:cs="Calibri"/>
                <w:color w:val="000000"/>
              </w:rPr>
              <w:t>he relationship between ITE and the developing professional learning framework.</w:t>
            </w:r>
          </w:p>
          <w:p w:rsidR="00B629C1" w:rsidRPr="00B629C1" w:rsidRDefault="00B629C1" w:rsidP="008A2003">
            <w:pPr>
              <w:pStyle w:val="ListParagraph"/>
              <w:numPr>
                <w:ilvl w:val="0"/>
                <w:numId w:val="2"/>
              </w:numPr>
              <w:rPr>
                <w:sz w:val="24"/>
                <w:szCs w:val="24"/>
                <w:u w:val="single"/>
              </w:rPr>
            </w:pPr>
            <w:r w:rsidRPr="002E47CB">
              <w:rPr>
                <w:sz w:val="24"/>
                <w:szCs w:val="24"/>
              </w:rPr>
              <w:t>Develop and support an all Wales literacy/numeracy/DCF and equivalency testing system</w:t>
            </w:r>
            <w:r>
              <w:rPr>
                <w:sz w:val="24"/>
                <w:szCs w:val="24"/>
              </w:rPr>
              <w:t>.</w:t>
            </w:r>
          </w:p>
          <w:p w:rsidR="00B629C1" w:rsidRPr="00B629C1" w:rsidRDefault="00B629C1" w:rsidP="008A2003">
            <w:pPr>
              <w:pStyle w:val="ListParagraph"/>
              <w:numPr>
                <w:ilvl w:val="0"/>
                <w:numId w:val="2"/>
              </w:numPr>
              <w:rPr>
                <w:sz w:val="24"/>
                <w:szCs w:val="24"/>
                <w:u w:val="single"/>
              </w:rPr>
            </w:pPr>
            <w:r w:rsidRPr="0021315E">
              <w:rPr>
                <w:sz w:val="24"/>
                <w:szCs w:val="24"/>
              </w:rPr>
              <w:t>We feel as the development of Welsh Language towards Cymraeg 2050 is so crucial</w:t>
            </w:r>
            <w:r>
              <w:rPr>
                <w:sz w:val="24"/>
                <w:szCs w:val="24"/>
              </w:rPr>
              <w:t xml:space="preserve"> at a National level we would benefit on working collaboratively with all partners to produce standardised materials and provision for Wales. Ideally this would also be supported by central funding.</w:t>
            </w:r>
          </w:p>
          <w:p w:rsidR="00B629C1" w:rsidRPr="00731D27" w:rsidRDefault="00731D27" w:rsidP="008A2003">
            <w:pPr>
              <w:pStyle w:val="ListParagraph"/>
              <w:numPr>
                <w:ilvl w:val="0"/>
                <w:numId w:val="2"/>
              </w:numPr>
              <w:rPr>
                <w:sz w:val="24"/>
                <w:szCs w:val="24"/>
                <w:u w:val="single"/>
              </w:rPr>
            </w:pPr>
            <w:r>
              <w:rPr>
                <w:sz w:val="24"/>
                <w:szCs w:val="24"/>
              </w:rPr>
              <w:t>Developing a shared understanding and approach to Estyn’s new inspection arrangements for ITE provision (building on and consolidating discussions taking place in Estyn ITE stakeholder meetings).</w:t>
            </w:r>
          </w:p>
          <w:p w:rsidR="00731D27" w:rsidRPr="00681F30" w:rsidRDefault="00681F30" w:rsidP="008A2003">
            <w:pPr>
              <w:pStyle w:val="ListParagraph"/>
              <w:numPr>
                <w:ilvl w:val="0"/>
                <w:numId w:val="2"/>
              </w:numPr>
              <w:rPr>
                <w:sz w:val="24"/>
                <w:szCs w:val="24"/>
                <w:u w:val="single"/>
              </w:rPr>
            </w:pPr>
            <w:r>
              <w:rPr>
                <w:sz w:val="24"/>
                <w:szCs w:val="24"/>
              </w:rPr>
              <w:t>Informing / advising WG on issues impacting ITE in Wales eg Grants and bursaries, WM provision, etc</w:t>
            </w:r>
          </w:p>
          <w:p w:rsidR="00681F30" w:rsidRPr="00750557" w:rsidRDefault="00E610BA" w:rsidP="008A2003">
            <w:pPr>
              <w:pStyle w:val="ListParagraph"/>
              <w:numPr>
                <w:ilvl w:val="0"/>
                <w:numId w:val="2"/>
              </w:numPr>
              <w:rPr>
                <w:sz w:val="24"/>
                <w:szCs w:val="24"/>
                <w:u w:val="single"/>
              </w:rPr>
            </w:pPr>
            <w:r w:rsidRPr="00492A88">
              <w:rPr>
                <w:sz w:val="24"/>
                <w:szCs w:val="24"/>
              </w:rPr>
              <w:t>USCET can engage a range of stakeholders in setting local and national priorities as assessed by education providers.  These priorities may differ from government and middle tier organisations and USCET has an opportunity to highlight where short-term priorities may need to be addressed in order to enable the successful implementation of longer-term goals.</w:t>
            </w:r>
          </w:p>
          <w:p w:rsidR="00750557" w:rsidRPr="00FC587D" w:rsidRDefault="00750557" w:rsidP="008A2003">
            <w:pPr>
              <w:pStyle w:val="ListParagraph"/>
              <w:numPr>
                <w:ilvl w:val="0"/>
                <w:numId w:val="2"/>
              </w:numPr>
              <w:rPr>
                <w:sz w:val="24"/>
                <w:szCs w:val="24"/>
                <w:u w:val="single"/>
              </w:rPr>
            </w:pPr>
            <w:r w:rsidRPr="004159A1">
              <w:rPr>
                <w:sz w:val="24"/>
                <w:szCs w:val="24"/>
              </w:rPr>
              <w:t xml:space="preserve">To broker working relationships with Welsh Government and </w:t>
            </w:r>
            <w:r>
              <w:rPr>
                <w:sz w:val="24"/>
                <w:szCs w:val="24"/>
              </w:rPr>
              <w:t>with colleagues UCET more widely.</w:t>
            </w:r>
          </w:p>
          <w:p w:rsidR="00FC587D" w:rsidRPr="00A0789B" w:rsidRDefault="00A0789B" w:rsidP="008A2003">
            <w:pPr>
              <w:pStyle w:val="ListParagraph"/>
              <w:numPr>
                <w:ilvl w:val="0"/>
                <w:numId w:val="2"/>
              </w:numPr>
              <w:rPr>
                <w:sz w:val="24"/>
                <w:szCs w:val="24"/>
                <w:u w:val="single"/>
              </w:rPr>
            </w:pPr>
            <w:r>
              <w:rPr>
                <w:sz w:val="24"/>
                <w:szCs w:val="24"/>
              </w:rPr>
              <w:t>To ensure</w:t>
            </w:r>
            <w:r w:rsidR="00FC587D">
              <w:rPr>
                <w:sz w:val="24"/>
                <w:szCs w:val="24"/>
              </w:rPr>
              <w:t xml:space="preserve"> high quality of ini</w:t>
            </w:r>
            <w:r>
              <w:rPr>
                <w:sz w:val="24"/>
                <w:szCs w:val="24"/>
              </w:rPr>
              <w:t>tial teacher education in Wales, there is the need for USCET members to act as peer mentors to monitor and support the self-evaluation procedures of other ITE providers.</w:t>
            </w:r>
            <w:r w:rsidR="00460B38">
              <w:rPr>
                <w:sz w:val="24"/>
                <w:szCs w:val="24"/>
              </w:rPr>
              <w:t xml:space="preserve"> This has mutual benefits.</w:t>
            </w:r>
          </w:p>
          <w:p w:rsidR="00A0789B" w:rsidRPr="008A2003" w:rsidRDefault="00A0789B" w:rsidP="008A2003">
            <w:pPr>
              <w:pStyle w:val="ListParagraph"/>
              <w:numPr>
                <w:ilvl w:val="0"/>
                <w:numId w:val="2"/>
              </w:numPr>
              <w:rPr>
                <w:sz w:val="24"/>
                <w:szCs w:val="24"/>
                <w:u w:val="single"/>
              </w:rPr>
            </w:pPr>
            <w:r>
              <w:rPr>
                <w:sz w:val="24"/>
                <w:szCs w:val="24"/>
              </w:rPr>
              <w:t>With the emphasis now placed on student teachers attaining the professional standards, there is the immediate need to define the evidence and frequency of evidence that equates to the QTS threshold. Without this being done there is the increasing likelihood that variability will exist between providers that will lead to inconsistency across Wales.</w:t>
            </w:r>
          </w:p>
        </w:tc>
      </w:tr>
    </w:tbl>
    <w:p w:rsidR="001B005F" w:rsidRPr="009E2495" w:rsidRDefault="001B005F" w:rsidP="009E2495">
      <w:pPr>
        <w:spacing w:after="0" w:line="240" w:lineRule="auto"/>
        <w:rPr>
          <w:sz w:val="24"/>
          <w:szCs w:val="24"/>
        </w:rPr>
      </w:pPr>
    </w:p>
    <w:sectPr w:rsidR="001B005F" w:rsidRPr="009E24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08" w:rsidRDefault="00D06608" w:rsidP="00132EF9">
      <w:pPr>
        <w:spacing w:after="0" w:line="240" w:lineRule="auto"/>
      </w:pPr>
      <w:r>
        <w:separator/>
      </w:r>
    </w:p>
  </w:endnote>
  <w:endnote w:type="continuationSeparator" w:id="0">
    <w:p w:rsidR="00D06608" w:rsidRDefault="00D06608" w:rsidP="0013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404672"/>
      <w:docPartObj>
        <w:docPartGallery w:val="Page Numbers (Bottom of Page)"/>
        <w:docPartUnique/>
      </w:docPartObj>
    </w:sdtPr>
    <w:sdtEndPr/>
    <w:sdtContent>
      <w:sdt>
        <w:sdtPr>
          <w:id w:val="-1769616900"/>
          <w:docPartObj>
            <w:docPartGallery w:val="Page Numbers (Top of Page)"/>
            <w:docPartUnique/>
          </w:docPartObj>
        </w:sdtPr>
        <w:sdtEndPr/>
        <w:sdtContent>
          <w:p w:rsidR="00132EF9" w:rsidRDefault="00132E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55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56B">
              <w:rPr>
                <w:b/>
                <w:bCs/>
                <w:noProof/>
              </w:rPr>
              <w:t>5</w:t>
            </w:r>
            <w:r>
              <w:rPr>
                <w:b/>
                <w:bCs/>
                <w:sz w:val="24"/>
                <w:szCs w:val="24"/>
              </w:rPr>
              <w:fldChar w:fldCharType="end"/>
            </w:r>
          </w:p>
        </w:sdtContent>
      </w:sdt>
    </w:sdtContent>
  </w:sdt>
  <w:p w:rsidR="00132EF9" w:rsidRDefault="0013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08" w:rsidRDefault="00D06608" w:rsidP="00132EF9">
      <w:pPr>
        <w:spacing w:after="0" w:line="240" w:lineRule="auto"/>
      </w:pPr>
      <w:r>
        <w:separator/>
      </w:r>
    </w:p>
  </w:footnote>
  <w:footnote w:type="continuationSeparator" w:id="0">
    <w:p w:rsidR="00D06608" w:rsidRDefault="00D06608" w:rsidP="0013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24D"/>
    <w:multiLevelType w:val="hybridMultilevel"/>
    <w:tmpl w:val="C822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51430"/>
    <w:multiLevelType w:val="hybridMultilevel"/>
    <w:tmpl w:val="6702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782A"/>
    <w:multiLevelType w:val="hybridMultilevel"/>
    <w:tmpl w:val="1972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7D9A"/>
    <w:multiLevelType w:val="hybridMultilevel"/>
    <w:tmpl w:val="65AE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4D73"/>
    <w:multiLevelType w:val="hybridMultilevel"/>
    <w:tmpl w:val="D3E0B7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506B07"/>
    <w:multiLevelType w:val="hybridMultilevel"/>
    <w:tmpl w:val="64C2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1F0A"/>
    <w:multiLevelType w:val="hybridMultilevel"/>
    <w:tmpl w:val="0628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71289"/>
    <w:multiLevelType w:val="hybridMultilevel"/>
    <w:tmpl w:val="871E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35B51"/>
    <w:multiLevelType w:val="hybridMultilevel"/>
    <w:tmpl w:val="DA00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61C66"/>
    <w:multiLevelType w:val="hybridMultilevel"/>
    <w:tmpl w:val="127C76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D31584"/>
    <w:multiLevelType w:val="hybridMultilevel"/>
    <w:tmpl w:val="877E6DE0"/>
    <w:lvl w:ilvl="0" w:tplc="08090001">
      <w:start w:val="1"/>
      <w:numFmt w:val="bullet"/>
      <w:lvlText w:val=""/>
      <w:lvlJc w:val="left"/>
      <w:pPr>
        <w:ind w:left="72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0"/>
  </w:num>
  <w:num w:numId="6">
    <w:abstractNumId w:val="4"/>
  </w:num>
  <w:num w:numId="7">
    <w:abstractNumId w:val="9"/>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86"/>
    <w:rsid w:val="00132EF9"/>
    <w:rsid w:val="00163879"/>
    <w:rsid w:val="001B005F"/>
    <w:rsid w:val="001F59F3"/>
    <w:rsid w:val="002C2A7F"/>
    <w:rsid w:val="003D6118"/>
    <w:rsid w:val="00460B38"/>
    <w:rsid w:val="00472B28"/>
    <w:rsid w:val="00486010"/>
    <w:rsid w:val="004C7585"/>
    <w:rsid w:val="005E2699"/>
    <w:rsid w:val="00624C92"/>
    <w:rsid w:val="00667522"/>
    <w:rsid w:val="00681F30"/>
    <w:rsid w:val="007139E7"/>
    <w:rsid w:val="00731D27"/>
    <w:rsid w:val="00732C2D"/>
    <w:rsid w:val="00750557"/>
    <w:rsid w:val="007522D3"/>
    <w:rsid w:val="007703D2"/>
    <w:rsid w:val="007D6686"/>
    <w:rsid w:val="007F58E0"/>
    <w:rsid w:val="0080556B"/>
    <w:rsid w:val="0087591E"/>
    <w:rsid w:val="008A2003"/>
    <w:rsid w:val="009831E8"/>
    <w:rsid w:val="009E2495"/>
    <w:rsid w:val="00A0789B"/>
    <w:rsid w:val="00B02C1B"/>
    <w:rsid w:val="00B22F9E"/>
    <w:rsid w:val="00B629C1"/>
    <w:rsid w:val="00D06608"/>
    <w:rsid w:val="00D2003C"/>
    <w:rsid w:val="00D7716B"/>
    <w:rsid w:val="00E14162"/>
    <w:rsid w:val="00E610BA"/>
    <w:rsid w:val="00F341DC"/>
    <w:rsid w:val="00F8231C"/>
    <w:rsid w:val="00FC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F921F-4F2A-49C7-BBA1-49837B1D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16B"/>
    <w:rPr>
      <w:color w:val="0563C1" w:themeColor="hyperlink"/>
      <w:u w:val="single"/>
    </w:rPr>
  </w:style>
  <w:style w:type="table" w:styleId="TableGrid">
    <w:name w:val="Table Grid"/>
    <w:basedOn w:val="TableNormal"/>
    <w:uiPriority w:val="39"/>
    <w:rsid w:val="001B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05F"/>
    <w:pPr>
      <w:ind w:left="720"/>
      <w:contextualSpacing/>
    </w:pPr>
  </w:style>
  <w:style w:type="paragraph" w:styleId="BalloonText">
    <w:name w:val="Balloon Text"/>
    <w:basedOn w:val="Normal"/>
    <w:link w:val="BalloonTextChar"/>
    <w:uiPriority w:val="99"/>
    <w:semiHidden/>
    <w:unhideWhenUsed/>
    <w:rsid w:val="0062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paragraph" w:styleId="Header">
    <w:name w:val="header"/>
    <w:basedOn w:val="Normal"/>
    <w:link w:val="HeaderChar"/>
    <w:uiPriority w:val="99"/>
    <w:unhideWhenUsed/>
    <w:rsid w:val="0013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EF9"/>
  </w:style>
  <w:style w:type="paragraph" w:styleId="Footer">
    <w:name w:val="footer"/>
    <w:basedOn w:val="Normal"/>
    <w:link w:val="FooterChar"/>
    <w:uiPriority w:val="99"/>
    <w:unhideWhenUsed/>
    <w:rsid w:val="0013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t@ab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Noble-Rogers@ucet.ac.uk" TargetMode="External"/><Relationship Id="rId5" Type="http://schemas.openxmlformats.org/officeDocument/2006/relationships/footnotes" Target="footnotes.xml"/><Relationship Id="rId10" Type="http://schemas.openxmlformats.org/officeDocument/2006/relationships/hyperlink" Target="mailto:mlt@aber.ac.uk" TargetMode="External"/><Relationship Id="rId4" Type="http://schemas.openxmlformats.org/officeDocument/2006/relationships/webSettings" Target="webSettings.xml"/><Relationship Id="rId9" Type="http://schemas.openxmlformats.org/officeDocument/2006/relationships/hyperlink" Target="mailto:J.Noble-Rogers@uce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Thomas [mlt]</dc:creator>
  <cp:keywords/>
  <dc:description/>
  <cp:lastModifiedBy>Max Fincher</cp:lastModifiedBy>
  <cp:revision>2</cp:revision>
  <cp:lastPrinted>2019-05-09T08:27:00Z</cp:lastPrinted>
  <dcterms:created xsi:type="dcterms:W3CDTF">2019-05-10T08:33:00Z</dcterms:created>
  <dcterms:modified xsi:type="dcterms:W3CDTF">2019-05-10T08:33:00Z</dcterms:modified>
</cp:coreProperties>
</file>