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E56907" w:rsidRDefault="004A1673" w:rsidP="000A2B41">
      <w:pPr>
        <w:jc w:val="center"/>
        <w:rPr>
          <w:rFonts w:ascii="Arial" w:hAnsi="Arial"/>
          <w:b/>
          <w:sz w:val="24"/>
          <w:szCs w:val="24"/>
        </w:rPr>
      </w:pPr>
      <w:r w:rsidRPr="00E56907">
        <w:rPr>
          <w:rFonts w:ascii="Arial" w:hAnsi="Arial"/>
          <w:b/>
          <w:sz w:val="24"/>
          <w:szCs w:val="24"/>
        </w:rPr>
        <w:t xml:space="preserve">Note of the meeting of the </w:t>
      </w:r>
      <w:r w:rsidR="00837D18" w:rsidRPr="00E56907">
        <w:rPr>
          <w:rFonts w:ascii="Arial" w:hAnsi="Arial"/>
          <w:b/>
          <w:sz w:val="24"/>
          <w:szCs w:val="24"/>
        </w:rPr>
        <w:t xml:space="preserve">UCET </w:t>
      </w:r>
      <w:r w:rsidR="00FC042A" w:rsidRPr="00E56907">
        <w:rPr>
          <w:rFonts w:ascii="Arial" w:hAnsi="Arial"/>
          <w:b/>
          <w:sz w:val="24"/>
          <w:szCs w:val="24"/>
        </w:rPr>
        <w:t xml:space="preserve">Management </w:t>
      </w:r>
      <w:r w:rsidR="0095198B" w:rsidRPr="00E56907">
        <w:rPr>
          <w:rFonts w:ascii="Arial" w:hAnsi="Arial"/>
          <w:b/>
          <w:sz w:val="24"/>
          <w:szCs w:val="24"/>
        </w:rPr>
        <w:t xml:space="preserve">Forum </w:t>
      </w:r>
      <w:r w:rsidRPr="00E56907">
        <w:rPr>
          <w:rFonts w:ascii="Arial" w:hAnsi="Arial"/>
          <w:b/>
          <w:sz w:val="24"/>
          <w:szCs w:val="24"/>
        </w:rPr>
        <w:t>held at 1</w:t>
      </w:r>
      <w:r w:rsidR="00E7510C" w:rsidRPr="00E56907">
        <w:rPr>
          <w:rFonts w:ascii="Arial" w:hAnsi="Arial"/>
          <w:b/>
          <w:sz w:val="24"/>
          <w:szCs w:val="24"/>
        </w:rPr>
        <w:t>:00 p.m.</w:t>
      </w:r>
      <w:r w:rsidRPr="00E56907">
        <w:rPr>
          <w:rFonts w:ascii="Arial" w:hAnsi="Arial"/>
          <w:b/>
          <w:sz w:val="24"/>
          <w:szCs w:val="24"/>
        </w:rPr>
        <w:t xml:space="preserve"> on </w:t>
      </w:r>
      <w:r w:rsidR="00D35640" w:rsidRPr="00E56907">
        <w:rPr>
          <w:rFonts w:ascii="Arial" w:hAnsi="Arial"/>
          <w:b/>
          <w:sz w:val="24"/>
          <w:szCs w:val="24"/>
        </w:rPr>
        <w:t>4</w:t>
      </w:r>
      <w:r w:rsidR="00FC042A" w:rsidRPr="00E56907">
        <w:rPr>
          <w:rFonts w:ascii="Arial" w:hAnsi="Arial"/>
          <w:b/>
          <w:sz w:val="24"/>
          <w:szCs w:val="24"/>
        </w:rPr>
        <w:t xml:space="preserve"> December </w:t>
      </w:r>
      <w:r w:rsidR="00D35640" w:rsidRPr="00E56907">
        <w:rPr>
          <w:rFonts w:ascii="Arial" w:hAnsi="Arial"/>
          <w:b/>
          <w:sz w:val="24"/>
          <w:szCs w:val="24"/>
        </w:rPr>
        <w:t>2018</w:t>
      </w:r>
      <w:r w:rsidRPr="00E56907">
        <w:rPr>
          <w:rFonts w:ascii="Arial" w:hAnsi="Arial"/>
          <w:b/>
          <w:sz w:val="24"/>
          <w:szCs w:val="24"/>
        </w:rPr>
        <w:t xml:space="preserve"> at </w:t>
      </w:r>
      <w:r w:rsidR="00D35640" w:rsidRPr="00E56907">
        <w:rPr>
          <w:rFonts w:ascii="Arial" w:hAnsi="Arial"/>
          <w:b/>
          <w:sz w:val="24"/>
          <w:szCs w:val="24"/>
        </w:rPr>
        <w:t>Mary Sumner House, SW1P 3RB</w:t>
      </w:r>
    </w:p>
    <w:p w:rsidR="00E7510C" w:rsidRPr="00E56907" w:rsidRDefault="00E7510C" w:rsidP="00E7510C">
      <w:pPr>
        <w:rPr>
          <w:rFonts w:ascii="Arial" w:hAnsi="Arial"/>
          <w:b/>
          <w:sz w:val="24"/>
          <w:szCs w:val="24"/>
        </w:rPr>
      </w:pPr>
    </w:p>
    <w:p w:rsidR="003D2B06" w:rsidRPr="00E56907" w:rsidRDefault="003D2B06" w:rsidP="00943114">
      <w:pPr>
        <w:ind w:left="720"/>
        <w:rPr>
          <w:rFonts w:ascii="Arial" w:hAnsi="Arial"/>
          <w:b/>
          <w:sz w:val="24"/>
          <w:szCs w:val="24"/>
        </w:rPr>
      </w:pPr>
      <w:r w:rsidRPr="00E56907">
        <w:rPr>
          <w:rFonts w:ascii="Arial" w:hAnsi="Arial"/>
          <w:b/>
          <w:sz w:val="24"/>
          <w:szCs w:val="24"/>
        </w:rPr>
        <w:t>Welcome, introductions and note of previous meeting</w:t>
      </w:r>
    </w:p>
    <w:p w:rsidR="003D2B06" w:rsidRPr="00E56907" w:rsidRDefault="003D2B06" w:rsidP="003D2B06">
      <w:pPr>
        <w:rPr>
          <w:rFonts w:ascii="Arial" w:hAnsi="Arial"/>
          <w:b/>
          <w:sz w:val="24"/>
          <w:szCs w:val="24"/>
        </w:rPr>
      </w:pPr>
    </w:p>
    <w:p w:rsidR="003D2B06" w:rsidRPr="003266E5" w:rsidRDefault="003D2B06" w:rsidP="006F4877">
      <w:pPr>
        <w:pStyle w:val="ListParagraph"/>
        <w:numPr>
          <w:ilvl w:val="0"/>
          <w:numId w:val="41"/>
        </w:numPr>
        <w:rPr>
          <w:rFonts w:ascii="Arial" w:hAnsi="Arial"/>
          <w:b/>
          <w:sz w:val="24"/>
          <w:szCs w:val="24"/>
        </w:rPr>
      </w:pPr>
      <w:r w:rsidRPr="003266E5">
        <w:rPr>
          <w:rFonts w:ascii="Arial" w:hAnsi="Arial"/>
          <w:sz w:val="24"/>
          <w:szCs w:val="24"/>
        </w:rPr>
        <w:t>The new Chair and Vice Chair, Matt Varley and Stefanie Sullivan, welcomed colleagues to the meeting. Those attending for the first time introduced themselves.</w:t>
      </w:r>
      <w:r w:rsidR="003266E5">
        <w:rPr>
          <w:rFonts w:ascii="Arial" w:hAnsi="Arial"/>
          <w:sz w:val="24"/>
          <w:szCs w:val="24"/>
        </w:rPr>
        <w:t xml:space="preserve"> </w:t>
      </w:r>
      <w:r w:rsidRPr="003266E5">
        <w:rPr>
          <w:rFonts w:ascii="Arial" w:hAnsi="Arial"/>
          <w:sz w:val="24"/>
          <w:szCs w:val="24"/>
        </w:rPr>
        <w:t>The note of the meeting held on 19 June 2018 was approved. On matters arising, JNR briefed the forum on positive evaluations from the November UCET conference.</w:t>
      </w:r>
      <w:r w:rsidRPr="003266E5">
        <w:rPr>
          <w:rFonts w:ascii="Arial" w:hAnsi="Arial"/>
          <w:sz w:val="24"/>
          <w:szCs w:val="24"/>
        </w:rPr>
        <w:br/>
      </w:r>
      <w:r w:rsidRPr="003266E5">
        <w:rPr>
          <w:rFonts w:ascii="Arial" w:hAnsi="Arial"/>
          <w:sz w:val="24"/>
          <w:szCs w:val="24"/>
        </w:rPr>
        <w:br/>
      </w:r>
      <w:r w:rsidRPr="003266E5">
        <w:rPr>
          <w:rFonts w:ascii="Arial" w:hAnsi="Arial"/>
          <w:b/>
          <w:sz w:val="24"/>
          <w:szCs w:val="24"/>
        </w:rPr>
        <w:t>Discussion</w:t>
      </w:r>
    </w:p>
    <w:p w:rsidR="003D2B06" w:rsidRPr="00E56907" w:rsidRDefault="003D2B06" w:rsidP="003D2B06">
      <w:pPr>
        <w:rPr>
          <w:rFonts w:ascii="Arial" w:hAnsi="Arial"/>
          <w:sz w:val="24"/>
          <w:szCs w:val="24"/>
        </w:rPr>
      </w:pPr>
    </w:p>
    <w:p w:rsidR="003D2B06" w:rsidRPr="00943114" w:rsidRDefault="003D2B06" w:rsidP="00943114">
      <w:pPr>
        <w:pStyle w:val="ListParagraph"/>
        <w:numPr>
          <w:ilvl w:val="0"/>
          <w:numId w:val="41"/>
        </w:numPr>
        <w:rPr>
          <w:rFonts w:ascii="Arial" w:hAnsi="Arial"/>
          <w:sz w:val="24"/>
          <w:szCs w:val="24"/>
        </w:rPr>
      </w:pPr>
      <w:r w:rsidRPr="00943114">
        <w:rPr>
          <w:rFonts w:ascii="Arial" w:hAnsi="Arial"/>
          <w:sz w:val="24"/>
          <w:szCs w:val="24"/>
        </w:rPr>
        <w:t>The following items were covered during the discussion:</w:t>
      </w:r>
    </w:p>
    <w:p w:rsidR="003D2B06" w:rsidRPr="00E56907" w:rsidRDefault="003D2B06" w:rsidP="003D2B06">
      <w:pPr>
        <w:rPr>
          <w:rFonts w:ascii="Arial" w:hAnsi="Arial"/>
          <w:sz w:val="24"/>
          <w:szCs w:val="24"/>
        </w:rPr>
      </w:pPr>
    </w:p>
    <w:p w:rsidR="003D2B06" w:rsidRPr="00E56907" w:rsidRDefault="003D2B06" w:rsidP="003D2B06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 xml:space="preserve">Feedback from the morning symposium on the current policy landscape for HEIs and teacher education and </w:t>
      </w:r>
      <w:r w:rsidR="003266E5">
        <w:rPr>
          <w:rFonts w:ascii="Arial" w:hAnsi="Arial"/>
          <w:sz w:val="24"/>
          <w:szCs w:val="24"/>
        </w:rPr>
        <w:t xml:space="preserve">its implications for </w:t>
      </w:r>
      <w:r w:rsidRPr="00E56907">
        <w:rPr>
          <w:rFonts w:ascii="Arial" w:hAnsi="Arial"/>
          <w:sz w:val="24"/>
          <w:szCs w:val="24"/>
        </w:rPr>
        <w:t xml:space="preserve">the new UCET strategy. In relation to the strategy it was suggested that UCET should: </w:t>
      </w:r>
    </w:p>
    <w:p w:rsidR="003D2B06" w:rsidRPr="00E56907" w:rsidRDefault="003D2B06" w:rsidP="003D2B06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continue to stress the particular contribution that HEIs make through teacher education and explain that contribution to government and other relevant bodies</w:t>
      </w:r>
    </w:p>
    <w:p w:rsidR="003D2B06" w:rsidRPr="00E56907" w:rsidRDefault="003D2B06" w:rsidP="003D2B06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support and champion the actual and potential role of education departments within wider university settings</w:t>
      </w:r>
    </w:p>
    <w:p w:rsidR="003D2B06" w:rsidRPr="00E56907" w:rsidRDefault="003D2B06" w:rsidP="003D2B06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engage with, promulgate and w</w:t>
      </w:r>
      <w:r w:rsidR="00E56907">
        <w:rPr>
          <w:rFonts w:ascii="Arial" w:hAnsi="Arial"/>
          <w:sz w:val="24"/>
          <w:szCs w:val="24"/>
        </w:rPr>
        <w:t>h</w:t>
      </w:r>
      <w:r w:rsidRPr="00E56907">
        <w:rPr>
          <w:rFonts w:ascii="Arial" w:hAnsi="Arial"/>
          <w:sz w:val="24"/>
          <w:szCs w:val="24"/>
        </w:rPr>
        <w:t>ere appropriate commission and publish research and collect and analyse data</w:t>
      </w:r>
    </w:p>
    <w:p w:rsidR="00E56907" w:rsidRDefault="003D2B06" w:rsidP="003D2B06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continue to influence and critique the development and implementation of policy (e.g. in regards the ITE requirements, placement opportunities, the content framework, SKE) a</w:t>
      </w:r>
      <w:r w:rsidR="00F40411">
        <w:rPr>
          <w:rFonts w:ascii="Arial" w:hAnsi="Arial"/>
          <w:sz w:val="24"/>
          <w:szCs w:val="24"/>
        </w:rPr>
        <w:t>nd promote innovative practice</w:t>
      </w:r>
    </w:p>
    <w:p w:rsidR="003D2B06" w:rsidRPr="00E56907" w:rsidRDefault="003D2B06" w:rsidP="003D2B06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develop and nurture relationships with other organisations to maxim</w:t>
      </w:r>
      <w:r w:rsidR="00F40411">
        <w:rPr>
          <w:rFonts w:ascii="Arial" w:hAnsi="Arial"/>
          <w:sz w:val="24"/>
          <w:szCs w:val="24"/>
        </w:rPr>
        <w:t xml:space="preserve">ise UCET’s voice and influence </w:t>
      </w:r>
    </w:p>
    <w:p w:rsidR="00655D2A" w:rsidRPr="00E56907" w:rsidRDefault="003D2B0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 xml:space="preserve">share information on best practice </w:t>
      </w:r>
      <w:r w:rsidR="003266E5">
        <w:rPr>
          <w:rFonts w:ascii="Arial" w:hAnsi="Arial"/>
          <w:sz w:val="24"/>
          <w:szCs w:val="24"/>
        </w:rPr>
        <w:t xml:space="preserve">and other HE contributions </w:t>
      </w:r>
      <w:r w:rsidRPr="00E56907">
        <w:rPr>
          <w:rFonts w:ascii="Arial" w:hAnsi="Arial"/>
          <w:sz w:val="24"/>
          <w:szCs w:val="24"/>
        </w:rPr>
        <w:t>beyond the UCET community</w:t>
      </w:r>
    </w:p>
    <w:p w:rsidR="00655D2A" w:rsidRPr="00E56907" w:rsidRDefault="00E56907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655D2A" w:rsidRPr="00E56907">
        <w:rPr>
          <w:rFonts w:ascii="Arial" w:hAnsi="Arial"/>
          <w:sz w:val="24"/>
          <w:szCs w:val="24"/>
        </w:rPr>
        <w:t>eflect the ‘Building research informed teacher education’ paper and the work of the ‘intellectual underpinnings’ group in the new strategy</w:t>
      </w:r>
    </w:p>
    <w:p w:rsidR="00655D2A" w:rsidRPr="00E56907" w:rsidRDefault="00655D2A" w:rsidP="00655D2A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Topics for future symposia, which might include themes identified during the morning’s strategy discussions, and opportunities for HEIs arising from apprenticeships and other activities being carried out by other organisations</w:t>
      </w:r>
    </w:p>
    <w:p w:rsidR="00655D2A" w:rsidRPr="00E56907" w:rsidRDefault="00655D2A" w:rsidP="00655D2A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  <w:lang w:val="en-GB" w:eastAsia="en-GB"/>
        </w:rPr>
        <w:t xml:space="preserve">Levels of recruitment to ITE in 2018, where targets had again been missed, and retention was already an issue (tensions between retention and institutional </w:t>
      </w:r>
      <w:r w:rsidRPr="00E56907">
        <w:rPr>
          <w:rFonts w:ascii="Arial" w:hAnsi="Arial"/>
          <w:sz w:val="24"/>
          <w:szCs w:val="24"/>
          <w:lang w:val="en-GB" w:eastAsia="en-GB"/>
        </w:rPr>
        <w:lastRenderedPageBreak/>
        <w:t xml:space="preserve">expectation in regards TEF and </w:t>
      </w:r>
      <w:r w:rsidR="003266E5">
        <w:rPr>
          <w:rFonts w:ascii="Arial" w:hAnsi="Arial"/>
          <w:sz w:val="24"/>
          <w:szCs w:val="24"/>
          <w:lang w:val="en-GB" w:eastAsia="en-GB"/>
        </w:rPr>
        <w:t xml:space="preserve">internal targets and expectations </w:t>
      </w:r>
      <w:r w:rsidRPr="00E56907">
        <w:rPr>
          <w:rFonts w:ascii="Arial" w:hAnsi="Arial"/>
          <w:sz w:val="24"/>
          <w:szCs w:val="24"/>
          <w:lang w:val="en-GB" w:eastAsia="en-GB"/>
        </w:rPr>
        <w:t>were also noted)</w:t>
      </w:r>
    </w:p>
    <w:p w:rsidR="00655D2A" w:rsidRPr="00E56907" w:rsidRDefault="00655D2A" w:rsidP="00655D2A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  <w:lang w:val="en-GB" w:eastAsia="en-GB"/>
        </w:rPr>
        <w:t xml:space="preserve">Applications for 2019, </w:t>
      </w:r>
      <w:r w:rsidR="00E56907">
        <w:rPr>
          <w:rFonts w:ascii="Arial" w:hAnsi="Arial"/>
          <w:sz w:val="24"/>
          <w:szCs w:val="24"/>
          <w:lang w:val="en-GB" w:eastAsia="en-GB"/>
        </w:rPr>
        <w:t xml:space="preserve">which were reported </w:t>
      </w:r>
      <w:r w:rsidRPr="00E56907">
        <w:rPr>
          <w:rFonts w:ascii="Arial" w:hAnsi="Arial"/>
          <w:sz w:val="24"/>
          <w:szCs w:val="24"/>
          <w:lang w:val="en-GB" w:eastAsia="en-GB"/>
        </w:rPr>
        <w:t>to be notably down on the previous year, and difficulties relating to the DTT</w:t>
      </w:r>
    </w:p>
    <w:p w:rsidR="00655D2A" w:rsidRPr="00E56907" w:rsidRDefault="00655D2A" w:rsidP="00655D2A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  <w:lang w:val="en-GB" w:eastAsia="en-GB"/>
        </w:rPr>
        <w:t>The Early Career Framework, w</w:t>
      </w:r>
      <w:r w:rsidR="00E56907">
        <w:rPr>
          <w:rFonts w:ascii="Arial" w:hAnsi="Arial"/>
          <w:sz w:val="24"/>
          <w:szCs w:val="24"/>
          <w:lang w:val="en-GB" w:eastAsia="en-GB"/>
        </w:rPr>
        <w:t>h</w:t>
      </w:r>
      <w:r w:rsidRPr="00E56907">
        <w:rPr>
          <w:rFonts w:ascii="Arial" w:hAnsi="Arial"/>
          <w:sz w:val="24"/>
          <w:szCs w:val="24"/>
          <w:lang w:val="en-GB" w:eastAsia="en-GB"/>
        </w:rPr>
        <w:t>ere UCET had been pressing for: delivery by the accredited ITE sector; flexibility to allow the framework to meet the needs of particular NQTs; and the potential to link to M level credits</w:t>
      </w:r>
    </w:p>
    <w:p w:rsidR="00655D2A" w:rsidRPr="00E56907" w:rsidRDefault="00655D2A" w:rsidP="009B6D16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  <w:lang w:val="en-GB" w:eastAsia="en-GB"/>
        </w:rPr>
        <w:t xml:space="preserve">The teacher workload report and its implications for ITE </w:t>
      </w:r>
    </w:p>
    <w:p w:rsidR="00655D2A" w:rsidRPr="00E56907" w:rsidRDefault="00655D2A" w:rsidP="009B6D16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  <w:lang w:val="en-GB" w:eastAsia="en-GB"/>
        </w:rPr>
        <w:t>QTS apprenticeshi</w:t>
      </w:r>
      <w:r w:rsidR="00E56907">
        <w:rPr>
          <w:rFonts w:ascii="Arial" w:hAnsi="Arial"/>
          <w:sz w:val="24"/>
          <w:szCs w:val="24"/>
          <w:lang w:val="en-GB" w:eastAsia="en-GB"/>
        </w:rPr>
        <w:t xml:space="preserve">ps, where 90 trainees </w:t>
      </w:r>
      <w:r w:rsidRPr="00E56907">
        <w:rPr>
          <w:rFonts w:ascii="Arial" w:hAnsi="Arial"/>
          <w:sz w:val="24"/>
          <w:szCs w:val="24"/>
          <w:lang w:val="en-GB" w:eastAsia="en-GB"/>
        </w:rPr>
        <w:t xml:space="preserve">had </w:t>
      </w:r>
      <w:r w:rsidR="00D41C86" w:rsidRPr="00E56907">
        <w:rPr>
          <w:rFonts w:ascii="Arial" w:hAnsi="Arial"/>
          <w:sz w:val="24"/>
          <w:szCs w:val="24"/>
          <w:lang w:val="en-GB" w:eastAsia="en-GB"/>
        </w:rPr>
        <w:t>b</w:t>
      </w:r>
      <w:r w:rsidRPr="00E56907">
        <w:rPr>
          <w:rFonts w:ascii="Arial" w:hAnsi="Arial"/>
          <w:sz w:val="24"/>
          <w:szCs w:val="24"/>
          <w:lang w:val="en-GB" w:eastAsia="en-GB"/>
        </w:rPr>
        <w:t>een recruited in 2018 and systemic issu</w:t>
      </w:r>
      <w:r w:rsidR="00D41C86" w:rsidRPr="00E56907">
        <w:rPr>
          <w:rFonts w:ascii="Arial" w:hAnsi="Arial"/>
          <w:sz w:val="24"/>
          <w:szCs w:val="24"/>
          <w:lang w:val="en-GB" w:eastAsia="en-GB"/>
        </w:rPr>
        <w:t>e</w:t>
      </w:r>
      <w:r w:rsidRPr="00E56907">
        <w:rPr>
          <w:rFonts w:ascii="Arial" w:hAnsi="Arial"/>
          <w:sz w:val="24"/>
          <w:szCs w:val="24"/>
          <w:lang w:val="en-GB" w:eastAsia="en-GB"/>
        </w:rPr>
        <w:t xml:space="preserve">s (e.g. relating to the additional fourth term) continued to </w:t>
      </w:r>
      <w:r w:rsidR="00F40411">
        <w:rPr>
          <w:rFonts w:ascii="Arial" w:hAnsi="Arial"/>
          <w:sz w:val="24"/>
          <w:szCs w:val="24"/>
          <w:lang w:val="en-GB" w:eastAsia="en-GB"/>
        </w:rPr>
        <w:t xml:space="preserve">cause difficulties. </w:t>
      </w:r>
    </w:p>
    <w:p w:rsidR="00655D2A" w:rsidRPr="00E56907" w:rsidRDefault="00655D2A" w:rsidP="009B6D16">
      <w:pPr>
        <w:pStyle w:val="ListParagraph"/>
        <w:numPr>
          <w:ilvl w:val="0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Inspection issues, with the following reports received of recent OFSTED visits:</w:t>
      </w:r>
    </w:p>
    <w:p w:rsidR="00655D2A" w:rsidRPr="00E56907" w:rsidRDefault="00655D2A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Apparent attempts to trial areas that might be addressed in the new inspection framework</w:t>
      </w:r>
    </w:p>
    <w:p w:rsidR="00655D2A" w:rsidRPr="00E56907" w:rsidRDefault="00655D2A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Significant differences between the two inspection phases, possibly because of a change of lead inspector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 xml:space="preserve">Attention paid to things </w:t>
      </w:r>
      <w:r w:rsidR="00E56907" w:rsidRPr="00E56907">
        <w:rPr>
          <w:rFonts w:ascii="Arial" w:eastAsia="Times New Roman" w:hAnsi="Arial"/>
          <w:sz w:val="24"/>
          <w:szCs w:val="24"/>
        </w:rPr>
        <w:t>that</w:t>
      </w:r>
      <w:r w:rsidRPr="00E56907">
        <w:rPr>
          <w:rFonts w:ascii="Arial" w:eastAsia="Times New Roman" w:hAnsi="Arial"/>
          <w:sz w:val="24"/>
          <w:szCs w:val="24"/>
        </w:rPr>
        <w:t xml:space="preserve"> were not within the </w:t>
      </w:r>
      <w:r w:rsidR="003266E5">
        <w:rPr>
          <w:rFonts w:ascii="Arial" w:eastAsia="Times New Roman" w:hAnsi="Arial"/>
          <w:sz w:val="24"/>
          <w:szCs w:val="24"/>
        </w:rPr>
        <w:t xml:space="preserve">control </w:t>
      </w:r>
      <w:r w:rsidRPr="00E56907">
        <w:rPr>
          <w:rFonts w:ascii="Arial" w:eastAsia="Times New Roman" w:hAnsi="Arial"/>
          <w:sz w:val="24"/>
          <w:szCs w:val="24"/>
        </w:rPr>
        <w:t>of the HEI, such as the contribution to NQT support of schools outside the ITE partnership and progress made during the NQT year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The role of HEIs in supporting regional ITE networks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The development of student teacher skills in regards curriculum development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Increased attention paid to particular subject areas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Equipping student teachers with research skills, M level components of ITE programmes and how that contributes to recruitment and retention</w:t>
      </w:r>
    </w:p>
    <w:p w:rsidR="00D41C86" w:rsidRPr="00E56907" w:rsidRDefault="00D41C86" w:rsidP="00655D2A">
      <w:pPr>
        <w:pStyle w:val="ListParagraph"/>
        <w:numPr>
          <w:ilvl w:val="1"/>
          <w:numId w:val="38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The difference between different routes, where it was suggested by forum members that consistency in terms of outcomes was not always possible or desirable</w:t>
      </w:r>
    </w:p>
    <w:p w:rsidR="00D41C86" w:rsidRPr="00E56907" w:rsidRDefault="00D41C86" w:rsidP="00D41C86">
      <w:pPr>
        <w:rPr>
          <w:rFonts w:ascii="Arial" w:eastAsia="Calibri" w:hAnsi="Arial"/>
          <w:sz w:val="24"/>
          <w:szCs w:val="24"/>
        </w:rPr>
      </w:pPr>
    </w:p>
    <w:p w:rsidR="00D41C86" w:rsidRPr="00E56907" w:rsidRDefault="00D41C86" w:rsidP="00943114">
      <w:pPr>
        <w:ind w:left="360"/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b/>
          <w:sz w:val="24"/>
          <w:szCs w:val="24"/>
        </w:rPr>
        <w:t>Items for information</w:t>
      </w:r>
    </w:p>
    <w:p w:rsidR="00D41C86" w:rsidRPr="00E56907" w:rsidRDefault="00D41C86" w:rsidP="00D41C86">
      <w:pPr>
        <w:rPr>
          <w:rFonts w:ascii="Arial" w:hAnsi="Arial"/>
          <w:sz w:val="24"/>
          <w:szCs w:val="24"/>
        </w:rPr>
      </w:pPr>
    </w:p>
    <w:p w:rsidR="00D41C86" w:rsidRPr="00943114" w:rsidRDefault="00D41C86" w:rsidP="00943114">
      <w:pPr>
        <w:pStyle w:val="ListParagraph"/>
        <w:numPr>
          <w:ilvl w:val="0"/>
          <w:numId w:val="41"/>
        </w:numPr>
        <w:rPr>
          <w:rFonts w:ascii="Arial" w:hAnsi="Arial"/>
          <w:sz w:val="24"/>
          <w:szCs w:val="24"/>
        </w:rPr>
      </w:pPr>
      <w:r w:rsidRPr="00943114">
        <w:rPr>
          <w:rFonts w:ascii="Arial" w:hAnsi="Arial"/>
          <w:sz w:val="24"/>
          <w:szCs w:val="24"/>
        </w:rPr>
        <w:t>A number of items were noted for information, including: the OFSTED termly letter to partnerships; the OFSTED statement on the timing of the introduction of the new inspection framework; the 2018 ICET conference report; UCET correspondence with ministers; and the summer UCET newsletter.</w:t>
      </w:r>
    </w:p>
    <w:p w:rsidR="00D41C86" w:rsidRPr="00E56907" w:rsidRDefault="00D41C86" w:rsidP="00D41C86">
      <w:pPr>
        <w:rPr>
          <w:rFonts w:ascii="Arial" w:hAnsi="Arial"/>
          <w:sz w:val="24"/>
          <w:szCs w:val="24"/>
        </w:rPr>
      </w:pPr>
    </w:p>
    <w:p w:rsidR="00D41C86" w:rsidRPr="00E56907" w:rsidRDefault="00D41C86" w:rsidP="00943114">
      <w:pPr>
        <w:ind w:left="360"/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b/>
          <w:sz w:val="24"/>
          <w:szCs w:val="24"/>
        </w:rPr>
        <w:t>Any other business</w:t>
      </w:r>
    </w:p>
    <w:p w:rsidR="00D41C86" w:rsidRPr="00E56907" w:rsidRDefault="00D41C86" w:rsidP="00D41C86">
      <w:pPr>
        <w:rPr>
          <w:rFonts w:ascii="Arial" w:hAnsi="Arial"/>
          <w:sz w:val="24"/>
          <w:szCs w:val="24"/>
        </w:rPr>
      </w:pPr>
    </w:p>
    <w:p w:rsidR="00D41C86" w:rsidRPr="00943114" w:rsidRDefault="00D41C86" w:rsidP="00943114">
      <w:pPr>
        <w:pStyle w:val="ListParagraph"/>
        <w:numPr>
          <w:ilvl w:val="0"/>
          <w:numId w:val="41"/>
        </w:numPr>
        <w:rPr>
          <w:rFonts w:ascii="Arial" w:hAnsi="Arial"/>
          <w:sz w:val="24"/>
          <w:szCs w:val="24"/>
        </w:rPr>
      </w:pPr>
      <w:r w:rsidRPr="00943114">
        <w:rPr>
          <w:rFonts w:ascii="Arial" w:hAnsi="Arial"/>
          <w:sz w:val="24"/>
          <w:szCs w:val="24"/>
        </w:rPr>
        <w:t>The following points of AOB were raised:</w:t>
      </w:r>
    </w:p>
    <w:p w:rsidR="00D41C86" w:rsidRPr="00E56907" w:rsidRDefault="00D41C86" w:rsidP="00D41C86">
      <w:pPr>
        <w:rPr>
          <w:rFonts w:ascii="Arial" w:hAnsi="Arial"/>
          <w:sz w:val="24"/>
          <w:szCs w:val="24"/>
        </w:rPr>
      </w:pPr>
    </w:p>
    <w:p w:rsidR="00D41C86" w:rsidRPr="00E56907" w:rsidRDefault="00D41C86" w:rsidP="00D41C86">
      <w:pPr>
        <w:pStyle w:val="ListParagraph"/>
        <w:numPr>
          <w:ilvl w:val="0"/>
          <w:numId w:val="40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A report on the Transition to Teaching projects funded by DFE</w:t>
      </w:r>
    </w:p>
    <w:p w:rsidR="00C300C3" w:rsidRPr="00E56907" w:rsidRDefault="00D41C86" w:rsidP="00D41C86">
      <w:pPr>
        <w:pStyle w:val="ListParagraph"/>
        <w:numPr>
          <w:ilvl w:val="0"/>
          <w:numId w:val="40"/>
        </w:numPr>
        <w:rPr>
          <w:rFonts w:ascii="Arial" w:hAnsi="Arial"/>
          <w:sz w:val="24"/>
          <w:szCs w:val="24"/>
        </w:rPr>
      </w:pPr>
      <w:r w:rsidRPr="00E56907">
        <w:rPr>
          <w:rFonts w:ascii="Arial" w:eastAsia="Times New Roman" w:hAnsi="Arial"/>
          <w:sz w:val="24"/>
          <w:szCs w:val="24"/>
        </w:rPr>
        <w:t>Confir</w:t>
      </w:r>
      <w:r w:rsidR="00C300C3" w:rsidRPr="00E56907">
        <w:rPr>
          <w:rFonts w:ascii="Arial" w:eastAsia="Times New Roman" w:hAnsi="Arial"/>
          <w:sz w:val="24"/>
          <w:szCs w:val="24"/>
        </w:rPr>
        <w:t xml:space="preserve">mation that, while almost all UCET member </w:t>
      </w:r>
      <w:r w:rsidR="00E56907" w:rsidRPr="00E56907">
        <w:rPr>
          <w:rFonts w:ascii="Arial" w:eastAsia="Times New Roman" w:hAnsi="Arial"/>
          <w:sz w:val="24"/>
          <w:szCs w:val="24"/>
        </w:rPr>
        <w:t>institutions</w:t>
      </w:r>
      <w:r w:rsidR="00C300C3" w:rsidRPr="00E56907">
        <w:rPr>
          <w:rFonts w:ascii="Arial" w:eastAsia="Times New Roman" w:hAnsi="Arial"/>
          <w:sz w:val="24"/>
          <w:szCs w:val="24"/>
        </w:rPr>
        <w:t xml:space="preserve"> were HEIs, partner </w:t>
      </w:r>
      <w:r w:rsidR="00E56907" w:rsidRPr="00E56907">
        <w:rPr>
          <w:rFonts w:ascii="Arial" w:eastAsia="Times New Roman" w:hAnsi="Arial"/>
          <w:sz w:val="24"/>
          <w:szCs w:val="24"/>
        </w:rPr>
        <w:t>organisations</w:t>
      </w:r>
      <w:r w:rsidR="00C300C3" w:rsidRPr="00E56907">
        <w:rPr>
          <w:rFonts w:ascii="Arial" w:eastAsia="Times New Roman" w:hAnsi="Arial"/>
          <w:sz w:val="24"/>
          <w:szCs w:val="24"/>
        </w:rPr>
        <w:t xml:space="preserve"> involved in delivering accredited award-bearing teacher </w:t>
      </w:r>
      <w:r w:rsidR="00E56907" w:rsidRPr="00E56907">
        <w:rPr>
          <w:rFonts w:ascii="Arial" w:eastAsia="Times New Roman" w:hAnsi="Arial"/>
          <w:sz w:val="24"/>
          <w:szCs w:val="24"/>
        </w:rPr>
        <w:t>education</w:t>
      </w:r>
      <w:r w:rsidR="00C300C3" w:rsidRPr="00E56907">
        <w:rPr>
          <w:rFonts w:ascii="Arial" w:eastAsia="Times New Roman" w:hAnsi="Arial"/>
          <w:sz w:val="24"/>
          <w:szCs w:val="24"/>
        </w:rPr>
        <w:t xml:space="preserve"> programmes in partnership with universities had been eligible for membership for a number of years.</w:t>
      </w:r>
    </w:p>
    <w:p w:rsidR="00C300C3" w:rsidRPr="00E56907" w:rsidRDefault="00C300C3" w:rsidP="00C300C3">
      <w:pPr>
        <w:rPr>
          <w:rFonts w:ascii="Arial" w:hAnsi="Arial"/>
          <w:b/>
          <w:sz w:val="24"/>
          <w:szCs w:val="24"/>
        </w:rPr>
      </w:pPr>
    </w:p>
    <w:p w:rsidR="00C300C3" w:rsidRPr="00E56907" w:rsidRDefault="00C300C3" w:rsidP="00627793">
      <w:pPr>
        <w:ind w:left="360"/>
        <w:rPr>
          <w:rFonts w:ascii="Arial" w:hAnsi="Arial"/>
          <w:b/>
          <w:sz w:val="24"/>
          <w:szCs w:val="24"/>
        </w:rPr>
      </w:pPr>
      <w:r w:rsidRPr="00E56907">
        <w:rPr>
          <w:rFonts w:ascii="Arial" w:hAnsi="Arial"/>
          <w:b/>
          <w:sz w:val="24"/>
          <w:szCs w:val="24"/>
        </w:rPr>
        <w:t>Date of next meeting</w:t>
      </w:r>
    </w:p>
    <w:p w:rsidR="00C300C3" w:rsidRPr="00E56907" w:rsidRDefault="00C300C3" w:rsidP="00C300C3">
      <w:pPr>
        <w:rPr>
          <w:rFonts w:ascii="Arial" w:hAnsi="Arial"/>
          <w:b/>
          <w:sz w:val="24"/>
          <w:szCs w:val="24"/>
        </w:rPr>
      </w:pPr>
    </w:p>
    <w:p w:rsidR="004A1673" w:rsidRPr="00E56907" w:rsidRDefault="00C300C3" w:rsidP="00627793">
      <w:pPr>
        <w:ind w:left="360"/>
        <w:rPr>
          <w:rFonts w:ascii="Arial" w:hAnsi="Arial"/>
          <w:sz w:val="24"/>
          <w:szCs w:val="24"/>
        </w:rPr>
      </w:pPr>
      <w:r w:rsidRPr="00E56907">
        <w:rPr>
          <w:rFonts w:ascii="Arial" w:hAnsi="Arial"/>
          <w:sz w:val="24"/>
          <w:szCs w:val="24"/>
        </w:rPr>
        <w:t>19 March 2019, MSH</w:t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  <w:r w:rsidR="003D2B06" w:rsidRPr="00E56907">
        <w:rPr>
          <w:rFonts w:ascii="Arial" w:hAnsi="Arial"/>
          <w:sz w:val="24"/>
          <w:szCs w:val="24"/>
        </w:rPr>
        <w:br/>
      </w:r>
    </w:p>
    <w:sectPr w:rsidR="004A1673" w:rsidRPr="00E5690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B36EC5"/>
    <w:multiLevelType w:val="hybridMultilevel"/>
    <w:tmpl w:val="0F00E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90103E"/>
    <w:multiLevelType w:val="hybridMultilevel"/>
    <w:tmpl w:val="991C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B42AB"/>
    <w:multiLevelType w:val="hybridMultilevel"/>
    <w:tmpl w:val="D274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D7C0A"/>
    <w:multiLevelType w:val="hybridMultilevel"/>
    <w:tmpl w:val="B1F6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5CB"/>
    <w:multiLevelType w:val="hybridMultilevel"/>
    <w:tmpl w:val="E18AE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39534A"/>
    <w:multiLevelType w:val="hybridMultilevel"/>
    <w:tmpl w:val="445E298A"/>
    <w:lvl w:ilvl="0" w:tplc="0D561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2C40D60"/>
    <w:multiLevelType w:val="hybridMultilevel"/>
    <w:tmpl w:val="A32C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5"/>
  </w:num>
  <w:num w:numId="4">
    <w:abstractNumId w:val="3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23"/>
  </w:num>
  <w:num w:numId="19">
    <w:abstractNumId w:val="36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</w:num>
  <w:num w:numId="26">
    <w:abstractNumId w:val="37"/>
  </w:num>
  <w:num w:numId="27">
    <w:abstractNumId w:val="38"/>
  </w:num>
  <w:num w:numId="28">
    <w:abstractNumId w:val="30"/>
  </w:num>
  <w:num w:numId="29">
    <w:abstractNumId w:val="2"/>
  </w:num>
  <w:num w:numId="30">
    <w:abstractNumId w:val="17"/>
  </w:num>
  <w:num w:numId="31">
    <w:abstractNumId w:val="5"/>
  </w:num>
  <w:num w:numId="32">
    <w:abstractNumId w:val="27"/>
  </w:num>
  <w:num w:numId="33">
    <w:abstractNumId w:val="6"/>
  </w:num>
  <w:num w:numId="34">
    <w:abstractNumId w:val="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  <w:num w:numId="38">
    <w:abstractNumId w:val="26"/>
  </w:num>
  <w:num w:numId="39">
    <w:abstractNumId w:val="28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7D42"/>
    <w:rsid w:val="00026AC1"/>
    <w:rsid w:val="00056340"/>
    <w:rsid w:val="000663F4"/>
    <w:rsid w:val="000757B0"/>
    <w:rsid w:val="00075E3A"/>
    <w:rsid w:val="000842BA"/>
    <w:rsid w:val="000871B3"/>
    <w:rsid w:val="000A2B41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2133AF"/>
    <w:rsid w:val="0026207F"/>
    <w:rsid w:val="00263612"/>
    <w:rsid w:val="002B18AF"/>
    <w:rsid w:val="002D28F2"/>
    <w:rsid w:val="003030E1"/>
    <w:rsid w:val="003266E5"/>
    <w:rsid w:val="003353A2"/>
    <w:rsid w:val="00335CAC"/>
    <w:rsid w:val="003466D1"/>
    <w:rsid w:val="003601A9"/>
    <w:rsid w:val="003701A6"/>
    <w:rsid w:val="00373FDA"/>
    <w:rsid w:val="0039675D"/>
    <w:rsid w:val="003A07AB"/>
    <w:rsid w:val="003D2B06"/>
    <w:rsid w:val="003E399F"/>
    <w:rsid w:val="003E6C64"/>
    <w:rsid w:val="004020BF"/>
    <w:rsid w:val="00404BC9"/>
    <w:rsid w:val="00406BE6"/>
    <w:rsid w:val="00406D70"/>
    <w:rsid w:val="00406E3F"/>
    <w:rsid w:val="00460ADD"/>
    <w:rsid w:val="004712AB"/>
    <w:rsid w:val="00473DD9"/>
    <w:rsid w:val="004919CD"/>
    <w:rsid w:val="004A1673"/>
    <w:rsid w:val="004A2A80"/>
    <w:rsid w:val="004B1B32"/>
    <w:rsid w:val="004C357B"/>
    <w:rsid w:val="004C6301"/>
    <w:rsid w:val="004D22CE"/>
    <w:rsid w:val="004D4E96"/>
    <w:rsid w:val="004E424F"/>
    <w:rsid w:val="00503490"/>
    <w:rsid w:val="0050585C"/>
    <w:rsid w:val="00510CD9"/>
    <w:rsid w:val="005241D6"/>
    <w:rsid w:val="00533996"/>
    <w:rsid w:val="00587A14"/>
    <w:rsid w:val="005D6022"/>
    <w:rsid w:val="005F6649"/>
    <w:rsid w:val="00600564"/>
    <w:rsid w:val="00627793"/>
    <w:rsid w:val="00655D2A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26AB"/>
    <w:rsid w:val="0073319F"/>
    <w:rsid w:val="00736FAE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F7A39"/>
    <w:rsid w:val="00801AC2"/>
    <w:rsid w:val="008252AB"/>
    <w:rsid w:val="00837D18"/>
    <w:rsid w:val="0086641B"/>
    <w:rsid w:val="00880A4E"/>
    <w:rsid w:val="008818D3"/>
    <w:rsid w:val="0088376A"/>
    <w:rsid w:val="008A0A18"/>
    <w:rsid w:val="00900283"/>
    <w:rsid w:val="00904226"/>
    <w:rsid w:val="00924704"/>
    <w:rsid w:val="00931D51"/>
    <w:rsid w:val="00943114"/>
    <w:rsid w:val="0095198B"/>
    <w:rsid w:val="0095447C"/>
    <w:rsid w:val="0096534E"/>
    <w:rsid w:val="00986160"/>
    <w:rsid w:val="009927E3"/>
    <w:rsid w:val="009B4042"/>
    <w:rsid w:val="009D432D"/>
    <w:rsid w:val="00A07063"/>
    <w:rsid w:val="00A62726"/>
    <w:rsid w:val="00A648E6"/>
    <w:rsid w:val="00A65CFD"/>
    <w:rsid w:val="00A97D3F"/>
    <w:rsid w:val="00AA07DD"/>
    <w:rsid w:val="00AA3673"/>
    <w:rsid w:val="00AB568E"/>
    <w:rsid w:val="00AD3A5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97223"/>
    <w:rsid w:val="00BA540B"/>
    <w:rsid w:val="00BB1276"/>
    <w:rsid w:val="00BB2360"/>
    <w:rsid w:val="00BC463C"/>
    <w:rsid w:val="00BF1983"/>
    <w:rsid w:val="00BF2BD7"/>
    <w:rsid w:val="00C0032E"/>
    <w:rsid w:val="00C02640"/>
    <w:rsid w:val="00C131B9"/>
    <w:rsid w:val="00C23A79"/>
    <w:rsid w:val="00C27B2F"/>
    <w:rsid w:val="00C300C3"/>
    <w:rsid w:val="00C318D3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640"/>
    <w:rsid w:val="00D3599D"/>
    <w:rsid w:val="00D41C86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0FC5"/>
    <w:rsid w:val="00E25A65"/>
    <w:rsid w:val="00E265FE"/>
    <w:rsid w:val="00E27BA3"/>
    <w:rsid w:val="00E56907"/>
    <w:rsid w:val="00E64ED8"/>
    <w:rsid w:val="00E7510C"/>
    <w:rsid w:val="00E772EE"/>
    <w:rsid w:val="00E96393"/>
    <w:rsid w:val="00EB65CC"/>
    <w:rsid w:val="00F263AC"/>
    <w:rsid w:val="00F27355"/>
    <w:rsid w:val="00F325CB"/>
    <w:rsid w:val="00F32B1D"/>
    <w:rsid w:val="00F40411"/>
    <w:rsid w:val="00F41BF4"/>
    <w:rsid w:val="00F6662E"/>
    <w:rsid w:val="00F738CB"/>
    <w:rsid w:val="00F83A4C"/>
    <w:rsid w:val="00F92622"/>
    <w:rsid w:val="00F9299B"/>
    <w:rsid w:val="00FA1826"/>
    <w:rsid w:val="00FC042A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D2FB-67C1-4FEB-A8CF-6722828C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2018-12-05T07:14:00Z</cp:lastPrinted>
  <dcterms:created xsi:type="dcterms:W3CDTF">2019-02-26T10:22:00Z</dcterms:created>
  <dcterms:modified xsi:type="dcterms:W3CDTF">2019-02-26T10:22:00Z</dcterms:modified>
</cp:coreProperties>
</file>