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A82F97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2058C9" w:rsidRPr="00721417" w:rsidRDefault="008C11C2" w:rsidP="008C11C2">
      <w:pPr>
        <w:jc w:val="center"/>
        <w:rPr>
          <w:rFonts w:ascii="Arial" w:hAnsi="Arial" w:cs="Arial"/>
          <w:b/>
          <w:sz w:val="18"/>
          <w:szCs w:val="18"/>
        </w:rPr>
      </w:pPr>
      <w:r w:rsidRPr="00721417">
        <w:rPr>
          <w:rFonts w:ascii="Arial" w:hAnsi="Arial" w:cs="Arial"/>
          <w:b/>
          <w:sz w:val="18"/>
          <w:szCs w:val="18"/>
        </w:rPr>
        <w:t>Age</w:t>
      </w:r>
      <w:r w:rsidR="000E44A9" w:rsidRPr="00721417">
        <w:rPr>
          <w:rFonts w:ascii="Arial" w:hAnsi="Arial" w:cs="Arial"/>
          <w:b/>
          <w:sz w:val="18"/>
          <w:szCs w:val="18"/>
        </w:rPr>
        <w:t xml:space="preserve">nda for the meeting of the </w:t>
      </w:r>
      <w:r w:rsidR="00AB0E00" w:rsidRPr="00721417">
        <w:rPr>
          <w:rFonts w:ascii="Arial" w:hAnsi="Arial" w:cs="Arial"/>
          <w:b/>
          <w:sz w:val="18"/>
          <w:szCs w:val="18"/>
        </w:rPr>
        <w:t>Management F</w:t>
      </w:r>
      <w:r w:rsidR="00F760AD" w:rsidRPr="00721417">
        <w:rPr>
          <w:rFonts w:ascii="Arial" w:hAnsi="Arial" w:cs="Arial"/>
          <w:b/>
          <w:sz w:val="18"/>
          <w:szCs w:val="18"/>
        </w:rPr>
        <w:t xml:space="preserve">orum </w:t>
      </w:r>
      <w:r w:rsidRPr="00721417">
        <w:rPr>
          <w:rFonts w:ascii="Arial" w:hAnsi="Arial" w:cs="Arial"/>
          <w:b/>
          <w:sz w:val="18"/>
          <w:szCs w:val="18"/>
        </w:rPr>
        <w:t xml:space="preserve">to be held at </w:t>
      </w:r>
      <w:r w:rsidR="00F760AD" w:rsidRPr="00721417">
        <w:rPr>
          <w:rFonts w:ascii="Arial" w:hAnsi="Arial" w:cs="Arial"/>
          <w:b/>
          <w:sz w:val="18"/>
          <w:szCs w:val="18"/>
        </w:rPr>
        <w:t>1pm</w:t>
      </w:r>
      <w:r w:rsidR="00F4133E" w:rsidRPr="00721417">
        <w:rPr>
          <w:rFonts w:ascii="Arial" w:hAnsi="Arial" w:cs="Arial"/>
          <w:b/>
          <w:sz w:val="18"/>
          <w:szCs w:val="18"/>
        </w:rPr>
        <w:t xml:space="preserve"> </w:t>
      </w:r>
      <w:r w:rsidRPr="00721417">
        <w:rPr>
          <w:rFonts w:ascii="Arial" w:hAnsi="Arial" w:cs="Arial"/>
          <w:b/>
          <w:sz w:val="18"/>
          <w:szCs w:val="18"/>
        </w:rPr>
        <w:t xml:space="preserve">on Tuesday </w:t>
      </w:r>
      <w:r w:rsidR="0051388F" w:rsidRPr="00721417">
        <w:rPr>
          <w:rFonts w:ascii="Arial" w:hAnsi="Arial" w:cs="Arial"/>
          <w:b/>
          <w:sz w:val="18"/>
          <w:szCs w:val="18"/>
        </w:rPr>
        <w:t>1</w:t>
      </w:r>
      <w:r w:rsidR="00AB0E00" w:rsidRPr="00721417">
        <w:rPr>
          <w:rFonts w:ascii="Arial" w:hAnsi="Arial" w:cs="Arial"/>
          <w:b/>
          <w:sz w:val="18"/>
          <w:szCs w:val="18"/>
        </w:rPr>
        <w:t>9</w:t>
      </w:r>
      <w:r w:rsidR="0051388F" w:rsidRPr="00721417">
        <w:rPr>
          <w:rFonts w:ascii="Arial" w:hAnsi="Arial" w:cs="Arial"/>
          <w:b/>
          <w:sz w:val="18"/>
          <w:szCs w:val="18"/>
        </w:rPr>
        <w:t xml:space="preserve"> </w:t>
      </w:r>
      <w:r w:rsidR="00A23A17" w:rsidRPr="00721417">
        <w:rPr>
          <w:rFonts w:ascii="Arial" w:hAnsi="Arial" w:cs="Arial"/>
          <w:b/>
          <w:sz w:val="18"/>
          <w:szCs w:val="18"/>
        </w:rPr>
        <w:t xml:space="preserve">March </w:t>
      </w:r>
      <w:r w:rsidR="00D12AF3" w:rsidRPr="00721417">
        <w:rPr>
          <w:rFonts w:ascii="Arial" w:hAnsi="Arial" w:cs="Arial"/>
          <w:b/>
          <w:sz w:val="18"/>
          <w:szCs w:val="18"/>
        </w:rPr>
        <w:t>2</w:t>
      </w:r>
      <w:r w:rsidR="002058C9" w:rsidRPr="00721417">
        <w:rPr>
          <w:rFonts w:ascii="Arial" w:hAnsi="Arial" w:cs="Arial"/>
          <w:b/>
          <w:sz w:val="18"/>
          <w:szCs w:val="18"/>
        </w:rPr>
        <w:t>01</w:t>
      </w:r>
      <w:r w:rsidR="00A23A17" w:rsidRPr="00721417">
        <w:rPr>
          <w:rFonts w:ascii="Arial" w:hAnsi="Arial" w:cs="Arial"/>
          <w:b/>
          <w:sz w:val="18"/>
          <w:szCs w:val="18"/>
        </w:rPr>
        <w:t>9</w:t>
      </w:r>
      <w:r w:rsidR="002058C9" w:rsidRPr="00721417">
        <w:rPr>
          <w:rFonts w:ascii="Arial" w:hAnsi="Arial" w:cs="Arial"/>
          <w:b/>
          <w:sz w:val="18"/>
          <w:szCs w:val="18"/>
        </w:rPr>
        <w:t xml:space="preserve"> at </w:t>
      </w:r>
      <w:r w:rsidR="00E34BD2" w:rsidRPr="00721417">
        <w:rPr>
          <w:rFonts w:ascii="Arial" w:hAnsi="Arial" w:cs="Arial"/>
          <w:b/>
          <w:sz w:val="18"/>
          <w:szCs w:val="18"/>
        </w:rPr>
        <w:t xml:space="preserve">Mary Sumner </w:t>
      </w:r>
      <w:r w:rsidR="002058C9" w:rsidRPr="00721417">
        <w:rPr>
          <w:rFonts w:ascii="Arial" w:hAnsi="Arial" w:cs="Arial"/>
          <w:b/>
          <w:sz w:val="18"/>
          <w:szCs w:val="18"/>
        </w:rPr>
        <w:t xml:space="preserve">House, </w:t>
      </w:r>
      <w:r w:rsidR="00231429">
        <w:rPr>
          <w:rFonts w:ascii="Arial" w:hAnsi="Arial" w:cs="Arial"/>
          <w:b/>
          <w:sz w:val="18"/>
          <w:szCs w:val="18"/>
        </w:rPr>
        <w:t xml:space="preserve">24 </w:t>
      </w:r>
      <w:r w:rsidR="00E34BD2" w:rsidRPr="00721417">
        <w:rPr>
          <w:rFonts w:ascii="Arial" w:hAnsi="Arial" w:cs="Arial"/>
          <w:b/>
          <w:sz w:val="18"/>
          <w:szCs w:val="18"/>
        </w:rPr>
        <w:t xml:space="preserve">Tufton Street, </w:t>
      </w:r>
      <w:r w:rsidR="002058C9" w:rsidRPr="00721417">
        <w:rPr>
          <w:rFonts w:ascii="Arial" w:hAnsi="Arial" w:cs="Arial"/>
          <w:b/>
          <w:sz w:val="18"/>
          <w:szCs w:val="18"/>
        </w:rPr>
        <w:t xml:space="preserve">London </w:t>
      </w:r>
      <w:r w:rsidR="00E34BD2" w:rsidRPr="00721417">
        <w:rPr>
          <w:rFonts w:ascii="Arial" w:hAnsi="Arial" w:cs="Arial"/>
          <w:b/>
          <w:sz w:val="18"/>
          <w:szCs w:val="18"/>
        </w:rPr>
        <w:t>SW1P 3RB</w:t>
      </w:r>
    </w:p>
    <w:p w:rsidR="00E34BD2" w:rsidRPr="00721417" w:rsidRDefault="00E34BD2" w:rsidP="008C11C2">
      <w:pPr>
        <w:jc w:val="center"/>
        <w:rPr>
          <w:rFonts w:ascii="Arial" w:hAnsi="Arial" w:cs="Arial"/>
          <w:b/>
          <w:sz w:val="18"/>
          <w:szCs w:val="18"/>
        </w:rPr>
      </w:pPr>
    </w:p>
    <w:p w:rsidR="00F760AD" w:rsidRPr="00721417" w:rsidRDefault="002058C9" w:rsidP="0051388F">
      <w:pPr>
        <w:rPr>
          <w:rFonts w:ascii="Arial" w:hAnsi="Arial" w:cs="Arial"/>
          <w:b/>
          <w:sz w:val="18"/>
          <w:szCs w:val="18"/>
        </w:rPr>
      </w:pPr>
      <w:r w:rsidRPr="00721417">
        <w:rPr>
          <w:rFonts w:ascii="Arial" w:hAnsi="Arial" w:cs="Arial"/>
          <w:b/>
          <w:sz w:val="18"/>
          <w:szCs w:val="18"/>
        </w:rPr>
        <w:t>Th</w:t>
      </w:r>
      <w:r w:rsidR="00F760AD" w:rsidRPr="00721417">
        <w:rPr>
          <w:rFonts w:ascii="Arial" w:hAnsi="Arial" w:cs="Arial"/>
          <w:b/>
          <w:sz w:val="18"/>
          <w:szCs w:val="18"/>
        </w:rPr>
        <w:t>ere will also be a morning symposium beginning at 10.</w:t>
      </w:r>
      <w:r w:rsidR="00AB0E00" w:rsidRPr="00721417">
        <w:rPr>
          <w:rFonts w:ascii="Arial" w:hAnsi="Arial" w:cs="Arial"/>
          <w:b/>
          <w:sz w:val="18"/>
          <w:szCs w:val="18"/>
        </w:rPr>
        <w:t>15</w:t>
      </w:r>
      <w:r w:rsidR="00F760AD" w:rsidRPr="00721417">
        <w:rPr>
          <w:rFonts w:ascii="Arial" w:hAnsi="Arial" w:cs="Arial"/>
          <w:b/>
          <w:sz w:val="18"/>
          <w:szCs w:val="18"/>
        </w:rPr>
        <w:t xml:space="preserve">am </w:t>
      </w:r>
      <w:r w:rsidR="001D01AC" w:rsidRPr="00721417">
        <w:rPr>
          <w:rFonts w:ascii="Arial" w:hAnsi="Arial" w:cs="Arial"/>
          <w:b/>
          <w:sz w:val="18"/>
          <w:szCs w:val="18"/>
        </w:rPr>
        <w:t xml:space="preserve">on </w:t>
      </w:r>
      <w:r w:rsidR="0051388F" w:rsidRPr="00721417">
        <w:rPr>
          <w:rFonts w:ascii="Arial" w:hAnsi="Arial" w:cs="Arial"/>
          <w:b/>
          <w:sz w:val="18"/>
          <w:szCs w:val="18"/>
        </w:rPr>
        <w:t xml:space="preserve">the </w:t>
      </w:r>
      <w:r w:rsidR="00AB0E00" w:rsidRPr="00721417">
        <w:rPr>
          <w:rFonts w:ascii="Arial" w:hAnsi="Arial" w:cs="Arial"/>
          <w:b/>
          <w:sz w:val="18"/>
          <w:szCs w:val="18"/>
        </w:rPr>
        <w:t>Early Career Fr</w:t>
      </w:r>
      <w:r w:rsidR="00227895">
        <w:rPr>
          <w:rFonts w:ascii="Arial" w:hAnsi="Arial" w:cs="Arial"/>
          <w:b/>
          <w:sz w:val="18"/>
          <w:szCs w:val="18"/>
        </w:rPr>
        <w:t xml:space="preserve">amework led by Cat </w:t>
      </w:r>
      <w:r w:rsidR="00231429">
        <w:rPr>
          <w:rFonts w:ascii="Arial" w:hAnsi="Arial" w:cs="Arial"/>
          <w:b/>
          <w:sz w:val="18"/>
          <w:szCs w:val="18"/>
        </w:rPr>
        <w:t>Scutt (CCT)</w:t>
      </w:r>
      <w:r w:rsidR="00AB0E00" w:rsidRPr="00721417">
        <w:rPr>
          <w:rFonts w:ascii="Arial" w:hAnsi="Arial" w:cs="Arial"/>
          <w:b/>
          <w:sz w:val="18"/>
          <w:szCs w:val="18"/>
        </w:rPr>
        <w:t xml:space="preserve"> and others. </w:t>
      </w:r>
      <w:r w:rsidR="00F760AD" w:rsidRPr="00721417">
        <w:rPr>
          <w:rFonts w:ascii="Arial" w:hAnsi="Arial" w:cs="Arial"/>
          <w:b/>
          <w:sz w:val="18"/>
          <w:szCs w:val="18"/>
        </w:rPr>
        <w:t xml:space="preserve">If you would like to attend but have not registered please contact Max Fincher at: </w:t>
      </w:r>
      <w:hyperlink r:id="rId9" w:history="1">
        <w:r w:rsidR="007E6A05" w:rsidRPr="00721417">
          <w:rPr>
            <w:rStyle w:val="Hyperlink"/>
            <w:rFonts w:ascii="Arial" w:hAnsi="Arial" w:cs="Arial"/>
            <w:b/>
            <w:sz w:val="18"/>
            <w:szCs w:val="18"/>
          </w:rPr>
          <w:t>m.fincher@ucet.ac.uk</w:t>
        </w:r>
      </w:hyperlink>
      <w:r w:rsidR="00F760AD" w:rsidRPr="00721417">
        <w:rPr>
          <w:rFonts w:ascii="Arial" w:hAnsi="Arial" w:cs="Arial"/>
          <w:b/>
          <w:sz w:val="18"/>
          <w:szCs w:val="18"/>
        </w:rPr>
        <w:t>.</w:t>
      </w:r>
    </w:p>
    <w:p w:rsidR="007E6A05" w:rsidRPr="00721417" w:rsidRDefault="007E6A05" w:rsidP="007E6A05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8C11C2" w:rsidRPr="00721417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Welcome and introductions</w:t>
      </w:r>
    </w:p>
    <w:p w:rsidR="008C11C2" w:rsidRPr="00721417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Minutes of the previous meeting</w:t>
      </w:r>
    </w:p>
    <w:p w:rsidR="008C11C2" w:rsidRPr="00721417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Matters arising</w:t>
      </w:r>
    </w:p>
    <w:p w:rsidR="00541FA7" w:rsidRPr="00721417" w:rsidRDefault="00F760AD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UCET updates</w:t>
      </w:r>
    </w:p>
    <w:p w:rsidR="00541FA7" w:rsidRPr="00721417" w:rsidRDefault="00AB0E00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Early Career Framework</w:t>
      </w:r>
      <w:r w:rsidR="00541FA7" w:rsidRPr="00721417">
        <w:rPr>
          <w:rFonts w:ascii="Arial" w:hAnsi="Arial" w:cs="Arial"/>
          <w:sz w:val="18"/>
          <w:szCs w:val="18"/>
        </w:rPr>
        <w:t>:</w:t>
      </w:r>
    </w:p>
    <w:p w:rsidR="00AB0E00" w:rsidRPr="00721417" w:rsidRDefault="00AB0E00" w:rsidP="00AB0E00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Topics for future symposia</w:t>
      </w:r>
    </w:p>
    <w:p w:rsidR="00A23A17" w:rsidRPr="00721417" w:rsidRDefault="00A23A17" w:rsidP="00A23A17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DFE teacher recruitment &amp; retention strategy:</w:t>
      </w:r>
    </w:p>
    <w:p w:rsidR="00A23A17" w:rsidRPr="00721417" w:rsidRDefault="00A23A17" w:rsidP="00A23A17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Recruitment &amp; retention measures</w:t>
      </w:r>
    </w:p>
    <w:p w:rsidR="00A23A17" w:rsidRPr="00721417" w:rsidRDefault="00A23A17" w:rsidP="00A23A17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ITE content</w:t>
      </w:r>
    </w:p>
    <w:p w:rsidR="00A23A17" w:rsidRPr="00721417" w:rsidRDefault="00A23A17" w:rsidP="00A23A17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Applications system</w:t>
      </w:r>
    </w:p>
    <w:p w:rsidR="001C6EF1" w:rsidRPr="00721417" w:rsidRDefault="001C6EF1" w:rsidP="00A23A17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Joint letter to Secretary of State</w:t>
      </w:r>
    </w:p>
    <w:p w:rsidR="0003038A" w:rsidRPr="00721417" w:rsidRDefault="0003038A" w:rsidP="00A23A17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 xml:space="preserve">Recruitment </w:t>
      </w:r>
      <w:r w:rsidR="00A23A17" w:rsidRPr="00721417">
        <w:rPr>
          <w:rFonts w:ascii="Arial" w:hAnsi="Arial" w:cs="Arial"/>
          <w:sz w:val="18"/>
          <w:szCs w:val="18"/>
        </w:rPr>
        <w:t xml:space="preserve">to ITE </w:t>
      </w:r>
      <w:r w:rsidRPr="00721417">
        <w:rPr>
          <w:rFonts w:ascii="Arial" w:hAnsi="Arial" w:cs="Arial"/>
          <w:sz w:val="18"/>
          <w:szCs w:val="18"/>
        </w:rPr>
        <w:t>in 2019/20</w:t>
      </w:r>
      <w:r w:rsidR="00A23A17" w:rsidRPr="00721417">
        <w:rPr>
          <w:rFonts w:ascii="Arial" w:hAnsi="Arial" w:cs="Arial"/>
          <w:sz w:val="18"/>
          <w:szCs w:val="18"/>
        </w:rPr>
        <w:t>:</w:t>
      </w:r>
    </w:p>
    <w:p w:rsidR="004B42CD" w:rsidRPr="00721417" w:rsidRDefault="00A23A17" w:rsidP="0003038A">
      <w:pPr>
        <w:pStyle w:val="ListParagraph"/>
        <w:numPr>
          <w:ilvl w:val="2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Feedback on applications</w:t>
      </w:r>
    </w:p>
    <w:p w:rsidR="004B42CD" w:rsidRPr="00721417" w:rsidRDefault="00A23A17" w:rsidP="0003038A">
      <w:pPr>
        <w:pStyle w:val="ListParagraph"/>
        <w:numPr>
          <w:ilvl w:val="2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Implications of changes to ITE requirements (school experience)</w:t>
      </w:r>
    </w:p>
    <w:p w:rsidR="0003038A" w:rsidRDefault="00A23A17" w:rsidP="002C3A69">
      <w:pPr>
        <w:pStyle w:val="ListParagraph"/>
        <w:numPr>
          <w:ilvl w:val="2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DFE letter on allocations and recruitment controls</w:t>
      </w:r>
    </w:p>
    <w:p w:rsidR="00A20D6F" w:rsidRPr="00721417" w:rsidRDefault="00A20D6F" w:rsidP="002C3A69">
      <w:pPr>
        <w:pStyle w:val="ListParagraph"/>
        <w:numPr>
          <w:ilvl w:val="2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NFER report on the teacher labour market</w:t>
      </w:r>
    </w:p>
    <w:p w:rsidR="00A936B3" w:rsidRPr="00721417" w:rsidRDefault="00A23A17" w:rsidP="00A23A17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Teacher workload</w:t>
      </w:r>
      <w:r w:rsidR="00A936B3" w:rsidRPr="00721417">
        <w:rPr>
          <w:rFonts w:ascii="Arial" w:hAnsi="Arial" w:cs="Arial"/>
          <w:sz w:val="18"/>
          <w:szCs w:val="18"/>
        </w:rPr>
        <w:t xml:space="preserve">: </w:t>
      </w:r>
    </w:p>
    <w:p w:rsidR="00A23A17" w:rsidRPr="00721417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DFE ITE and teacher workload report</w:t>
      </w:r>
    </w:p>
    <w:p w:rsidR="00A936B3" w:rsidRPr="00721417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UCET companion paper on lesson planning</w:t>
      </w:r>
    </w:p>
    <w:p w:rsidR="00A936B3" w:rsidRPr="00721417" w:rsidRDefault="00A936B3" w:rsidP="00A936B3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Inspection issues:</w:t>
      </w:r>
    </w:p>
    <w:p w:rsidR="00A936B3" w:rsidRPr="00721417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Feedback on recent inspection experiences</w:t>
      </w:r>
    </w:p>
    <w:p w:rsidR="00A936B3" w:rsidRPr="00721417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OFSTED consultation on Education Inspection Framework</w:t>
      </w:r>
    </w:p>
    <w:p w:rsidR="00A936B3" w:rsidRPr="00721417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New ITE inspection framework</w:t>
      </w:r>
    </w:p>
    <w:p w:rsidR="00AB0E00" w:rsidRPr="00721417" w:rsidRDefault="00AB0E00" w:rsidP="00AB0E00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Research Excellence Framework</w:t>
      </w:r>
    </w:p>
    <w:p w:rsidR="00AB0E00" w:rsidRPr="00721417" w:rsidRDefault="00AB0E00" w:rsidP="00AB0E00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Post-compulsory issues:</w:t>
      </w:r>
    </w:p>
    <w:p w:rsidR="00AB0E00" w:rsidRPr="00721417" w:rsidRDefault="00AB0E00" w:rsidP="00AB0E00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Meeting and correspondence with Minister of State</w:t>
      </w:r>
    </w:p>
    <w:p w:rsidR="00AB0E00" w:rsidRPr="00721417" w:rsidRDefault="00AB0E00" w:rsidP="00AB0E00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Bursary and SKE funding</w:t>
      </w:r>
    </w:p>
    <w:p w:rsidR="00C01BEE" w:rsidRPr="00721417" w:rsidRDefault="004B42CD" w:rsidP="00DD008F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It</w:t>
      </w:r>
      <w:r w:rsidR="00C01BEE" w:rsidRPr="00721417">
        <w:rPr>
          <w:rFonts w:ascii="Arial" w:hAnsi="Arial" w:cs="Arial"/>
          <w:sz w:val="18"/>
          <w:szCs w:val="18"/>
        </w:rPr>
        <w:t>ems for information:</w:t>
      </w:r>
    </w:p>
    <w:p w:rsidR="00C01BEE" w:rsidRPr="00721417" w:rsidRDefault="00A936B3" w:rsidP="006C5E62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2019 UCET conference</w:t>
      </w:r>
    </w:p>
    <w:p w:rsidR="00C01BEE" w:rsidRPr="00721417" w:rsidRDefault="00A936B3" w:rsidP="007E359C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 xml:space="preserve">December </w:t>
      </w:r>
      <w:r w:rsidR="00C01BEE" w:rsidRPr="00721417">
        <w:rPr>
          <w:rFonts w:ascii="Arial" w:hAnsi="Arial" w:cs="Arial"/>
          <w:sz w:val="18"/>
          <w:szCs w:val="18"/>
        </w:rPr>
        <w:t>2018 UCET newsletter</w:t>
      </w:r>
    </w:p>
    <w:p w:rsidR="00A82F97" w:rsidRPr="00721417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Any other business</w:t>
      </w:r>
    </w:p>
    <w:p w:rsidR="00A82F97" w:rsidRPr="00721417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 xml:space="preserve">Date of next meeting: </w:t>
      </w:r>
      <w:r w:rsidR="00B13D34" w:rsidRPr="00721417">
        <w:rPr>
          <w:rFonts w:ascii="Arial" w:hAnsi="Arial" w:cs="Arial"/>
          <w:sz w:val="18"/>
          <w:szCs w:val="18"/>
        </w:rPr>
        <w:t xml:space="preserve">Tuesday </w:t>
      </w:r>
      <w:r w:rsidR="00721417" w:rsidRPr="00721417">
        <w:rPr>
          <w:rFonts w:ascii="Arial" w:hAnsi="Arial" w:cs="Arial"/>
          <w:sz w:val="18"/>
          <w:szCs w:val="18"/>
        </w:rPr>
        <w:t>25</w:t>
      </w:r>
      <w:r w:rsidR="00B13D34" w:rsidRPr="00721417">
        <w:rPr>
          <w:rFonts w:ascii="Arial" w:hAnsi="Arial" w:cs="Arial"/>
          <w:sz w:val="18"/>
          <w:szCs w:val="18"/>
        </w:rPr>
        <w:t xml:space="preserve"> June 2019</w:t>
      </w:r>
    </w:p>
    <w:p w:rsidR="00A82F97" w:rsidRPr="00721417" w:rsidRDefault="00A82F97" w:rsidP="00A82F97">
      <w:pPr>
        <w:rPr>
          <w:rFonts w:ascii="Arial" w:hAnsi="Arial" w:cs="Arial"/>
          <w:sz w:val="18"/>
          <w:szCs w:val="18"/>
        </w:rPr>
      </w:pPr>
    </w:p>
    <w:p w:rsidR="00A82F97" w:rsidRPr="00721417" w:rsidRDefault="00F10A95" w:rsidP="00A82F97">
      <w:pPr>
        <w:rPr>
          <w:rFonts w:ascii="Arial" w:hAnsi="Arial" w:cs="Arial"/>
          <w:sz w:val="18"/>
          <w:szCs w:val="18"/>
          <w:u w:val="single"/>
        </w:rPr>
      </w:pPr>
      <w:r w:rsidRPr="00721417">
        <w:rPr>
          <w:rFonts w:ascii="Arial" w:hAnsi="Arial" w:cs="Arial"/>
          <w:sz w:val="18"/>
          <w:szCs w:val="18"/>
          <w:u w:val="single"/>
        </w:rPr>
        <w:t xml:space="preserve">Background </w:t>
      </w:r>
      <w:r w:rsidR="00A82F97" w:rsidRPr="00721417">
        <w:rPr>
          <w:rFonts w:ascii="Arial" w:hAnsi="Arial" w:cs="Arial"/>
          <w:sz w:val="18"/>
          <w:szCs w:val="18"/>
          <w:u w:val="single"/>
        </w:rPr>
        <w:t>papers</w:t>
      </w:r>
    </w:p>
    <w:p w:rsidR="00545523" w:rsidRPr="00721417" w:rsidRDefault="00545523" w:rsidP="00A82F97">
      <w:pPr>
        <w:ind w:left="360"/>
        <w:rPr>
          <w:rFonts w:ascii="Arial" w:hAnsi="Arial" w:cs="Arial"/>
          <w:sz w:val="18"/>
          <w:szCs w:val="18"/>
        </w:rPr>
      </w:pPr>
    </w:p>
    <w:p w:rsidR="00F10A95" w:rsidRPr="00721417" w:rsidRDefault="00F10A95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 xml:space="preserve">Minutes of the previous meeting </w:t>
      </w:r>
    </w:p>
    <w:p w:rsidR="004B42CD" w:rsidRPr="00721417" w:rsidRDefault="00B13D34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DFE teacher recruitment &amp; retention strategy</w:t>
      </w:r>
    </w:p>
    <w:p w:rsidR="00B13D34" w:rsidRPr="00721417" w:rsidRDefault="00B13D34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DFE Early Career Framework</w:t>
      </w:r>
    </w:p>
    <w:p w:rsidR="004A4A58" w:rsidRPr="00721417" w:rsidRDefault="004A4A58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Joint UCE, CCT, NASBTT and TSC letter</w:t>
      </w:r>
    </w:p>
    <w:p w:rsidR="001833D1" w:rsidRPr="00721417" w:rsidRDefault="001833D1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DFE letter on applications</w:t>
      </w:r>
    </w:p>
    <w:p w:rsidR="00B13D34" w:rsidRPr="00721417" w:rsidRDefault="00B13D34" w:rsidP="003630C2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DFE allocations letter</w:t>
      </w:r>
    </w:p>
    <w:p w:rsidR="00B13D34" w:rsidRPr="00721417" w:rsidRDefault="00B13D34" w:rsidP="0097251F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Teacher workload report</w:t>
      </w:r>
    </w:p>
    <w:p w:rsidR="00B13D34" w:rsidRPr="00721417" w:rsidRDefault="00B13D34" w:rsidP="0097251F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UCET companion paper on workload report</w:t>
      </w:r>
    </w:p>
    <w:p w:rsidR="00B13D34" w:rsidRPr="00721417" w:rsidRDefault="00B13D34" w:rsidP="0097251F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OFSTED EIF consultation</w:t>
      </w:r>
      <w:r w:rsidR="00E24B39">
        <w:rPr>
          <w:rFonts w:ascii="Arial" w:hAnsi="Arial" w:cs="Arial"/>
          <w:sz w:val="18"/>
          <w:szCs w:val="18"/>
        </w:rPr>
        <w:t xml:space="preserve"> (hyperlink)</w:t>
      </w:r>
    </w:p>
    <w:p w:rsidR="00721417" w:rsidRPr="00721417" w:rsidRDefault="00721417" w:rsidP="0097251F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REF decisions document</w:t>
      </w:r>
      <w:r w:rsidR="00E24B39">
        <w:rPr>
          <w:rFonts w:ascii="Arial" w:hAnsi="Arial" w:cs="Arial"/>
          <w:sz w:val="18"/>
          <w:szCs w:val="18"/>
        </w:rPr>
        <w:t xml:space="preserve"> (hyperlink)</w:t>
      </w:r>
    </w:p>
    <w:p w:rsidR="00721417" w:rsidRPr="00721417" w:rsidRDefault="00721417" w:rsidP="0097251F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UCET letter to Ann</w:t>
      </w:r>
      <w:r w:rsidR="00231429">
        <w:rPr>
          <w:rFonts w:ascii="Arial" w:hAnsi="Arial" w:cs="Arial"/>
          <w:sz w:val="18"/>
          <w:szCs w:val="18"/>
        </w:rPr>
        <w:t>e</w:t>
      </w:r>
      <w:r w:rsidRPr="00721417">
        <w:rPr>
          <w:rFonts w:ascii="Arial" w:hAnsi="Arial" w:cs="Arial"/>
          <w:sz w:val="18"/>
          <w:szCs w:val="18"/>
        </w:rPr>
        <w:t xml:space="preserve"> Milton</w:t>
      </w:r>
    </w:p>
    <w:p w:rsidR="00721417" w:rsidRPr="00721417" w:rsidRDefault="00721417" w:rsidP="0097251F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FE Week article on FE bursaries</w:t>
      </w:r>
      <w:r w:rsidR="00E24B39">
        <w:rPr>
          <w:rFonts w:ascii="Arial" w:hAnsi="Arial" w:cs="Arial"/>
          <w:sz w:val="18"/>
          <w:szCs w:val="18"/>
        </w:rPr>
        <w:t xml:space="preserve"> (hyperlink)</w:t>
      </w:r>
      <w:bookmarkStart w:id="0" w:name="_GoBack"/>
      <w:bookmarkEnd w:id="0"/>
    </w:p>
    <w:p w:rsidR="00437409" w:rsidRPr="00721417" w:rsidRDefault="00B13D34" w:rsidP="00437409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UCET</w:t>
      </w:r>
      <w:r w:rsidR="00F10A95" w:rsidRPr="00721417">
        <w:rPr>
          <w:rFonts w:ascii="Arial" w:hAnsi="Arial" w:cs="Arial"/>
          <w:sz w:val="18"/>
          <w:szCs w:val="18"/>
        </w:rPr>
        <w:t xml:space="preserve"> </w:t>
      </w:r>
      <w:r w:rsidRPr="00721417">
        <w:rPr>
          <w:rFonts w:ascii="Arial" w:hAnsi="Arial" w:cs="Arial"/>
          <w:sz w:val="18"/>
          <w:szCs w:val="18"/>
        </w:rPr>
        <w:t>December 2</w:t>
      </w:r>
      <w:r w:rsidR="00F10A95" w:rsidRPr="00721417">
        <w:rPr>
          <w:rFonts w:ascii="Arial" w:hAnsi="Arial" w:cs="Arial"/>
          <w:sz w:val="18"/>
          <w:szCs w:val="18"/>
        </w:rPr>
        <w:t>018 newsletter</w:t>
      </w:r>
    </w:p>
    <w:p w:rsidR="00F10A95" w:rsidRPr="00721417" w:rsidRDefault="00F10A95" w:rsidP="00B13D34">
      <w:pPr>
        <w:ind w:left="425"/>
        <w:rPr>
          <w:rFonts w:ascii="Arial" w:hAnsi="Arial" w:cs="Arial"/>
          <w:sz w:val="18"/>
          <w:szCs w:val="18"/>
        </w:rPr>
      </w:pPr>
    </w:p>
    <w:p w:rsidR="00A82F97" w:rsidRPr="00721417" w:rsidRDefault="00A82F97" w:rsidP="00A82F97">
      <w:pPr>
        <w:ind w:left="360"/>
        <w:rPr>
          <w:rFonts w:ascii="Arial" w:hAnsi="Arial" w:cs="Arial"/>
          <w:b/>
          <w:sz w:val="18"/>
          <w:szCs w:val="18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sectPr w:rsidR="008C11C2" w:rsidSect="006F0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3C1A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2A7CA8"/>
    <w:multiLevelType w:val="hybridMultilevel"/>
    <w:tmpl w:val="322C1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1"/>
  </w:num>
  <w:num w:numId="4">
    <w:abstractNumId w:val="3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4"/>
  </w:num>
  <w:num w:numId="19">
    <w:abstractNumId w:val="32"/>
  </w:num>
  <w:num w:numId="20">
    <w:abstractNumId w:val="19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9"/>
  </w:num>
  <w:num w:numId="26">
    <w:abstractNumId w:val="2"/>
  </w:num>
  <w:num w:numId="27">
    <w:abstractNumId w:val="3"/>
  </w:num>
  <w:num w:numId="28">
    <w:abstractNumId w:val="11"/>
  </w:num>
  <w:num w:numId="29">
    <w:abstractNumId w:val="33"/>
  </w:num>
  <w:num w:numId="30">
    <w:abstractNumId w:val="7"/>
  </w:num>
  <w:num w:numId="31">
    <w:abstractNumId w:val="6"/>
  </w:num>
  <w:num w:numId="32">
    <w:abstractNumId w:val="1"/>
  </w:num>
  <w:num w:numId="33">
    <w:abstractNumId w:val="2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6AC1"/>
    <w:rsid w:val="0003038A"/>
    <w:rsid w:val="00042EDB"/>
    <w:rsid w:val="00056340"/>
    <w:rsid w:val="000663F4"/>
    <w:rsid w:val="000757B0"/>
    <w:rsid w:val="00075E3A"/>
    <w:rsid w:val="000842BA"/>
    <w:rsid w:val="000871B3"/>
    <w:rsid w:val="00091A6F"/>
    <w:rsid w:val="000E0804"/>
    <w:rsid w:val="000E44A9"/>
    <w:rsid w:val="000F1ECB"/>
    <w:rsid w:val="000F5164"/>
    <w:rsid w:val="00100462"/>
    <w:rsid w:val="00102097"/>
    <w:rsid w:val="00125B89"/>
    <w:rsid w:val="00137534"/>
    <w:rsid w:val="00163B98"/>
    <w:rsid w:val="001833D1"/>
    <w:rsid w:val="00187C64"/>
    <w:rsid w:val="00195401"/>
    <w:rsid w:val="00197CB3"/>
    <w:rsid w:val="001A3DB2"/>
    <w:rsid w:val="001A58F8"/>
    <w:rsid w:val="001C6EF1"/>
    <w:rsid w:val="001D01AC"/>
    <w:rsid w:val="001E3EC7"/>
    <w:rsid w:val="002058C9"/>
    <w:rsid w:val="00227895"/>
    <w:rsid w:val="00231429"/>
    <w:rsid w:val="002D28F2"/>
    <w:rsid w:val="002E2CCA"/>
    <w:rsid w:val="003030E1"/>
    <w:rsid w:val="003353A2"/>
    <w:rsid w:val="00335CAC"/>
    <w:rsid w:val="003571D4"/>
    <w:rsid w:val="003701A6"/>
    <w:rsid w:val="00373FDA"/>
    <w:rsid w:val="00376550"/>
    <w:rsid w:val="003A07AB"/>
    <w:rsid w:val="003E399F"/>
    <w:rsid w:val="003E6C64"/>
    <w:rsid w:val="004020BF"/>
    <w:rsid w:val="00404BC9"/>
    <w:rsid w:val="00406E3F"/>
    <w:rsid w:val="00437409"/>
    <w:rsid w:val="00460ADD"/>
    <w:rsid w:val="004919CD"/>
    <w:rsid w:val="004A4A58"/>
    <w:rsid w:val="004B42CD"/>
    <w:rsid w:val="004C6301"/>
    <w:rsid w:val="004D22CE"/>
    <w:rsid w:val="004D4E96"/>
    <w:rsid w:val="004E424F"/>
    <w:rsid w:val="0050585C"/>
    <w:rsid w:val="00510CD9"/>
    <w:rsid w:val="0051388F"/>
    <w:rsid w:val="005214B4"/>
    <w:rsid w:val="005241D6"/>
    <w:rsid w:val="00541FA7"/>
    <w:rsid w:val="00545523"/>
    <w:rsid w:val="00587A14"/>
    <w:rsid w:val="005F6649"/>
    <w:rsid w:val="00606ED0"/>
    <w:rsid w:val="00656906"/>
    <w:rsid w:val="00663708"/>
    <w:rsid w:val="006713D1"/>
    <w:rsid w:val="00674ED5"/>
    <w:rsid w:val="006821DB"/>
    <w:rsid w:val="0069062B"/>
    <w:rsid w:val="00692AA1"/>
    <w:rsid w:val="00694AC5"/>
    <w:rsid w:val="00697ED9"/>
    <w:rsid w:val="006B16E8"/>
    <w:rsid w:val="006C1A63"/>
    <w:rsid w:val="006F0BBA"/>
    <w:rsid w:val="006F3B08"/>
    <w:rsid w:val="0071182F"/>
    <w:rsid w:val="00721417"/>
    <w:rsid w:val="007248F3"/>
    <w:rsid w:val="0073319F"/>
    <w:rsid w:val="00736FAE"/>
    <w:rsid w:val="00741D6B"/>
    <w:rsid w:val="00761E47"/>
    <w:rsid w:val="00783030"/>
    <w:rsid w:val="0078342E"/>
    <w:rsid w:val="00790D43"/>
    <w:rsid w:val="007A21CA"/>
    <w:rsid w:val="007A5055"/>
    <w:rsid w:val="007B1F7F"/>
    <w:rsid w:val="007C6582"/>
    <w:rsid w:val="007C72AE"/>
    <w:rsid w:val="007D01A5"/>
    <w:rsid w:val="007D240E"/>
    <w:rsid w:val="007E6A05"/>
    <w:rsid w:val="00801AC2"/>
    <w:rsid w:val="0086641B"/>
    <w:rsid w:val="00876021"/>
    <w:rsid w:val="008818D3"/>
    <w:rsid w:val="008A0A18"/>
    <w:rsid w:val="008B1B55"/>
    <w:rsid w:val="008C11C2"/>
    <w:rsid w:val="008E7F54"/>
    <w:rsid w:val="00900283"/>
    <w:rsid w:val="00904226"/>
    <w:rsid w:val="009220EF"/>
    <w:rsid w:val="00933723"/>
    <w:rsid w:val="00953F53"/>
    <w:rsid w:val="0095447C"/>
    <w:rsid w:val="00986160"/>
    <w:rsid w:val="009927E3"/>
    <w:rsid w:val="009B4042"/>
    <w:rsid w:val="00A20D6F"/>
    <w:rsid w:val="00A23A17"/>
    <w:rsid w:val="00A25AA2"/>
    <w:rsid w:val="00A56313"/>
    <w:rsid w:val="00A62726"/>
    <w:rsid w:val="00A65CFD"/>
    <w:rsid w:val="00A82F97"/>
    <w:rsid w:val="00A936B3"/>
    <w:rsid w:val="00A97D3F"/>
    <w:rsid w:val="00AA07DD"/>
    <w:rsid w:val="00AA3673"/>
    <w:rsid w:val="00AB0E00"/>
    <w:rsid w:val="00AD7290"/>
    <w:rsid w:val="00AE365F"/>
    <w:rsid w:val="00AE40D7"/>
    <w:rsid w:val="00AF7C09"/>
    <w:rsid w:val="00B13D34"/>
    <w:rsid w:val="00B24633"/>
    <w:rsid w:val="00B6401E"/>
    <w:rsid w:val="00B65A82"/>
    <w:rsid w:val="00B80B29"/>
    <w:rsid w:val="00B93383"/>
    <w:rsid w:val="00BA540B"/>
    <w:rsid w:val="00BB1276"/>
    <w:rsid w:val="00BD6E97"/>
    <w:rsid w:val="00C0032E"/>
    <w:rsid w:val="00C01BEE"/>
    <w:rsid w:val="00C02640"/>
    <w:rsid w:val="00C23A79"/>
    <w:rsid w:val="00C2625F"/>
    <w:rsid w:val="00C27B2F"/>
    <w:rsid w:val="00C4023E"/>
    <w:rsid w:val="00C44508"/>
    <w:rsid w:val="00C51AF9"/>
    <w:rsid w:val="00C54884"/>
    <w:rsid w:val="00C765B1"/>
    <w:rsid w:val="00CB45A4"/>
    <w:rsid w:val="00CD5C9E"/>
    <w:rsid w:val="00CD6CDB"/>
    <w:rsid w:val="00CD6E6C"/>
    <w:rsid w:val="00CF4AE3"/>
    <w:rsid w:val="00CF4EBB"/>
    <w:rsid w:val="00D006E8"/>
    <w:rsid w:val="00D12AF3"/>
    <w:rsid w:val="00D3599D"/>
    <w:rsid w:val="00D83811"/>
    <w:rsid w:val="00D91D76"/>
    <w:rsid w:val="00DA18ED"/>
    <w:rsid w:val="00DA549A"/>
    <w:rsid w:val="00DB1AC6"/>
    <w:rsid w:val="00DB47B9"/>
    <w:rsid w:val="00DC2807"/>
    <w:rsid w:val="00DC289F"/>
    <w:rsid w:val="00E04418"/>
    <w:rsid w:val="00E13FB2"/>
    <w:rsid w:val="00E155EF"/>
    <w:rsid w:val="00E24B39"/>
    <w:rsid w:val="00E265FE"/>
    <w:rsid w:val="00E27BA3"/>
    <w:rsid w:val="00E34BD2"/>
    <w:rsid w:val="00E64ED8"/>
    <w:rsid w:val="00E772EE"/>
    <w:rsid w:val="00E8728B"/>
    <w:rsid w:val="00EB73D0"/>
    <w:rsid w:val="00EE6660"/>
    <w:rsid w:val="00F10A95"/>
    <w:rsid w:val="00F263AC"/>
    <w:rsid w:val="00F27355"/>
    <w:rsid w:val="00F325CB"/>
    <w:rsid w:val="00F4133E"/>
    <w:rsid w:val="00F6662E"/>
    <w:rsid w:val="00F738CB"/>
    <w:rsid w:val="00F760AD"/>
    <w:rsid w:val="00F808FB"/>
    <w:rsid w:val="00F83A4C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DD02AB-7697-47AB-B48E-56A5A0C3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fincher@ucet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4</cp:revision>
  <cp:lastPrinted>2019-02-26T10:13:00Z</cp:lastPrinted>
  <dcterms:created xsi:type="dcterms:W3CDTF">2019-02-26T10:21:00Z</dcterms:created>
  <dcterms:modified xsi:type="dcterms:W3CDTF">2019-02-26T10:25:00Z</dcterms:modified>
</cp:coreProperties>
</file>